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BBB3C" w14:textId="77777777" w:rsidR="00590161" w:rsidRPr="00246976" w:rsidRDefault="00590161" w:rsidP="00590161">
      <w:pPr>
        <w:jc w:val="right"/>
        <w:rPr>
          <w:rFonts w:ascii="Arial Narrow" w:hAnsi="Arial Narrow"/>
          <w:sz w:val="21"/>
          <w:szCs w:val="20"/>
        </w:rPr>
      </w:pPr>
      <w:bookmarkStart w:id="0" w:name="Fax"/>
      <w:bookmarkStart w:id="1" w:name="Pages"/>
      <w:bookmarkStart w:id="2" w:name="_GoBack"/>
      <w:bookmarkEnd w:id="2"/>
      <w:r>
        <w:rPr>
          <w:noProof/>
        </w:rPr>
        <w:drawing>
          <wp:anchor distT="0" distB="0" distL="114300" distR="114300" simplePos="0" relativeHeight="251659264" behindDoc="0" locked="0" layoutInCell="1" allowOverlap="1" wp14:anchorId="7394D22A" wp14:editId="2F4F82F4">
            <wp:simplePos x="0" y="0"/>
            <wp:positionH relativeFrom="column">
              <wp:posOffset>3543300</wp:posOffset>
            </wp:positionH>
            <wp:positionV relativeFrom="paragraph">
              <wp:posOffset>-291397</wp:posOffset>
            </wp:positionV>
            <wp:extent cx="2421890" cy="405618"/>
            <wp:effectExtent l="0" t="0" r="0" b="1270"/>
            <wp:wrapNone/>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503" cy="406726"/>
                    </a:xfrm>
                    <a:prstGeom prst="rect">
                      <a:avLst/>
                    </a:prstGeom>
                    <a:noFill/>
                  </pic:spPr>
                </pic:pic>
              </a:graphicData>
            </a:graphic>
            <wp14:sizeRelH relativeFrom="page">
              <wp14:pctWidth>0</wp14:pctWidth>
            </wp14:sizeRelH>
            <wp14:sizeRelV relativeFrom="page">
              <wp14:pctHeight>0</wp14:pctHeight>
            </wp14:sizeRelV>
          </wp:anchor>
        </w:drawing>
      </w:r>
    </w:p>
    <w:p w14:paraId="613AAE0F" w14:textId="77777777" w:rsidR="00590161" w:rsidRPr="00516DFF" w:rsidRDefault="00590161" w:rsidP="00590161">
      <w:pPr>
        <w:spacing w:before="120"/>
        <w:jc w:val="right"/>
        <w:outlineLvl w:val="0"/>
        <w:rPr>
          <w:rFonts w:ascii="Century Gothic" w:hAnsi="Century Gothic"/>
          <w:color w:val="808080"/>
          <w:sz w:val="16"/>
          <w:szCs w:val="16"/>
        </w:rPr>
      </w:pPr>
      <w:r w:rsidRPr="00516DFF">
        <w:rPr>
          <w:rFonts w:ascii="Century Gothic" w:hAnsi="Century Gothic"/>
          <w:color w:val="808080"/>
          <w:sz w:val="16"/>
          <w:szCs w:val="16"/>
        </w:rPr>
        <w:t xml:space="preserve">urban planning </w:t>
      </w:r>
    </w:p>
    <w:p w14:paraId="2334574F" w14:textId="77777777" w:rsidR="00590161" w:rsidRPr="00516DFF" w:rsidRDefault="00590161" w:rsidP="00590161">
      <w:pPr>
        <w:spacing w:before="120"/>
        <w:jc w:val="right"/>
        <w:outlineLvl w:val="0"/>
        <w:rPr>
          <w:rFonts w:ascii="Century Gothic" w:hAnsi="Century Gothic"/>
          <w:color w:val="808080"/>
          <w:sz w:val="16"/>
          <w:szCs w:val="16"/>
        </w:rPr>
      </w:pPr>
      <w:r w:rsidRPr="00516DFF">
        <w:rPr>
          <w:rFonts w:ascii="Century Gothic" w:hAnsi="Century Gothic"/>
          <w:color w:val="808080"/>
          <w:sz w:val="16"/>
          <w:szCs w:val="16"/>
        </w:rPr>
        <w:t xml:space="preserve"> integrated land use and transport </w:t>
      </w:r>
    </w:p>
    <w:p w14:paraId="2A062DB8" w14:textId="77777777" w:rsidR="00590161" w:rsidRDefault="00590161" w:rsidP="00590161">
      <w:pPr>
        <w:spacing w:before="120"/>
        <w:jc w:val="right"/>
        <w:outlineLvl w:val="0"/>
        <w:rPr>
          <w:rFonts w:ascii="Century Gothic" w:hAnsi="Century Gothic"/>
          <w:color w:val="808080"/>
          <w:sz w:val="16"/>
          <w:szCs w:val="16"/>
        </w:rPr>
      </w:pPr>
      <w:r w:rsidRPr="00516DFF">
        <w:rPr>
          <w:rFonts w:ascii="Century Gothic" w:hAnsi="Century Gothic"/>
          <w:color w:val="808080"/>
          <w:sz w:val="16"/>
          <w:szCs w:val="16"/>
        </w:rPr>
        <w:t xml:space="preserve"> development advisory and management</w:t>
      </w:r>
    </w:p>
    <w:p w14:paraId="4A14B247" w14:textId="77777777" w:rsidR="00590161" w:rsidRPr="00155357" w:rsidRDefault="00590161" w:rsidP="00590161">
      <w:pPr>
        <w:spacing w:before="120"/>
        <w:jc w:val="right"/>
        <w:outlineLvl w:val="0"/>
        <w:rPr>
          <w:rFonts w:ascii="Century Gothic" w:hAnsi="Century Gothic" w:cs="Arial"/>
          <w:color w:val="808080"/>
          <w:sz w:val="20"/>
          <w:szCs w:val="20"/>
          <w:lang w:val="en-US"/>
        </w:rPr>
      </w:pPr>
    </w:p>
    <w:p w14:paraId="17081DBF" w14:textId="529C08E7" w:rsidR="00590161" w:rsidRPr="00155357" w:rsidRDefault="00994B9A" w:rsidP="00590161">
      <w:pPr>
        <w:spacing w:before="120"/>
        <w:outlineLvl w:val="0"/>
        <w:rPr>
          <w:rFonts w:ascii="Century Gothic" w:hAnsi="Century Gothic" w:cs="Arial"/>
          <w:color w:val="808080"/>
          <w:sz w:val="20"/>
          <w:szCs w:val="20"/>
          <w:lang w:val="en-US"/>
        </w:rPr>
      </w:pPr>
      <w:r>
        <w:rPr>
          <w:rFonts w:ascii="Century Gothic" w:hAnsi="Century Gothic" w:cs="Arial"/>
          <w:sz w:val="20"/>
          <w:szCs w:val="20"/>
        </w:rPr>
        <w:t>29 June 2015</w:t>
      </w:r>
    </w:p>
    <w:p w14:paraId="2D69D499" w14:textId="77777777" w:rsidR="002D3E7A" w:rsidRPr="00155357" w:rsidRDefault="002D3E7A" w:rsidP="00DA52AC">
      <w:pPr>
        <w:tabs>
          <w:tab w:val="right" w:pos="9498"/>
        </w:tabs>
        <w:spacing w:line="230" w:lineRule="exact"/>
        <w:jc w:val="both"/>
        <w:rPr>
          <w:rFonts w:ascii="Gill Sans Light" w:hAnsi="Gill Sans Light" w:cs="Arial"/>
          <w:sz w:val="20"/>
          <w:szCs w:val="20"/>
        </w:rPr>
      </w:pPr>
    </w:p>
    <w:p w14:paraId="500DAB80" w14:textId="77777777" w:rsidR="00AA51D9" w:rsidRPr="00155357" w:rsidRDefault="00AA51D9" w:rsidP="00DA52AC">
      <w:pPr>
        <w:tabs>
          <w:tab w:val="right" w:pos="9498"/>
        </w:tabs>
        <w:spacing w:line="230" w:lineRule="exact"/>
        <w:jc w:val="both"/>
        <w:rPr>
          <w:rFonts w:ascii="Gill Sans Light" w:hAnsi="Gill Sans Light" w:cs="Arial"/>
          <w:sz w:val="20"/>
          <w:szCs w:val="20"/>
        </w:rPr>
      </w:pPr>
    </w:p>
    <w:bookmarkEnd w:id="0"/>
    <w:bookmarkEnd w:id="1"/>
    <w:p w14:paraId="37793700" w14:textId="77777777" w:rsidR="008A7CC4" w:rsidRPr="00155357" w:rsidRDefault="009E05CE" w:rsidP="008A7CC4">
      <w:pPr>
        <w:tabs>
          <w:tab w:val="right" w:pos="9498"/>
        </w:tabs>
        <w:spacing w:line="230" w:lineRule="exact"/>
        <w:jc w:val="both"/>
        <w:rPr>
          <w:rFonts w:ascii="Century Gothic" w:hAnsi="Century Gothic" w:cs="Arial"/>
          <w:sz w:val="20"/>
          <w:szCs w:val="20"/>
        </w:rPr>
      </w:pPr>
      <w:r w:rsidRPr="00155357">
        <w:rPr>
          <w:rFonts w:ascii="Century Gothic" w:hAnsi="Century Gothic" w:cs="Arial"/>
          <w:sz w:val="20"/>
          <w:szCs w:val="20"/>
        </w:rPr>
        <w:t>Secretary</w:t>
      </w:r>
    </w:p>
    <w:p w14:paraId="403FCB40" w14:textId="77777777" w:rsidR="008A7CC4" w:rsidRPr="00155357" w:rsidRDefault="009E05CE" w:rsidP="009E05CE">
      <w:pPr>
        <w:tabs>
          <w:tab w:val="right" w:pos="9498"/>
        </w:tabs>
        <w:spacing w:line="230" w:lineRule="exact"/>
        <w:jc w:val="both"/>
        <w:rPr>
          <w:rFonts w:ascii="Century Gothic" w:hAnsi="Century Gothic" w:cs="Arial"/>
          <w:sz w:val="20"/>
          <w:szCs w:val="20"/>
        </w:rPr>
      </w:pPr>
      <w:r w:rsidRPr="00155357">
        <w:rPr>
          <w:rFonts w:ascii="Century Gothic" w:hAnsi="Century Gothic" w:cs="Arial"/>
          <w:sz w:val="20"/>
          <w:szCs w:val="20"/>
        </w:rPr>
        <w:t>NSW Department of Planning &amp; Environment</w:t>
      </w:r>
    </w:p>
    <w:p w14:paraId="6A651E54" w14:textId="77777777" w:rsidR="008A7CC4" w:rsidRPr="00155357" w:rsidRDefault="003D42C0" w:rsidP="008A7CC4">
      <w:pPr>
        <w:pStyle w:val="nostyle"/>
        <w:spacing w:line="230" w:lineRule="exact"/>
        <w:rPr>
          <w:rFonts w:ascii="Century Gothic" w:hAnsi="Century Gothic" w:cs="Arial"/>
        </w:rPr>
      </w:pPr>
      <w:r w:rsidRPr="00155357">
        <w:rPr>
          <w:rFonts w:ascii="Century Gothic" w:hAnsi="Century Gothic" w:cs="Arial"/>
        </w:rPr>
        <w:t>GPO Box 39</w:t>
      </w:r>
    </w:p>
    <w:p w14:paraId="444972AD" w14:textId="77777777" w:rsidR="008A7CC4" w:rsidRPr="00155357" w:rsidRDefault="003D42C0" w:rsidP="008A7CC4">
      <w:pPr>
        <w:pStyle w:val="nostyle"/>
        <w:spacing w:line="230" w:lineRule="exact"/>
        <w:rPr>
          <w:rFonts w:ascii="Century Gothic" w:hAnsi="Century Gothic" w:cs="Arial"/>
        </w:rPr>
      </w:pPr>
      <w:r w:rsidRPr="00155357">
        <w:rPr>
          <w:rFonts w:ascii="Century Gothic" w:hAnsi="Century Gothic" w:cs="Arial"/>
        </w:rPr>
        <w:t>Sydney NSW 2000</w:t>
      </w:r>
    </w:p>
    <w:p w14:paraId="50C141D8" w14:textId="77777777" w:rsidR="009E05CE" w:rsidRPr="00155357" w:rsidRDefault="009E05CE" w:rsidP="008A7CC4">
      <w:pPr>
        <w:pStyle w:val="nostyle"/>
        <w:spacing w:line="230" w:lineRule="exact"/>
        <w:rPr>
          <w:rFonts w:ascii="Century Gothic" w:hAnsi="Century Gothic" w:cs="Arial"/>
        </w:rPr>
      </w:pPr>
    </w:p>
    <w:p w14:paraId="2107E3FF" w14:textId="77777777" w:rsidR="009E05CE" w:rsidRPr="00155357" w:rsidRDefault="009E05CE" w:rsidP="008A7CC4">
      <w:pPr>
        <w:pStyle w:val="nostyle"/>
        <w:spacing w:line="230" w:lineRule="exact"/>
        <w:rPr>
          <w:rFonts w:ascii="Century Gothic" w:hAnsi="Century Gothic" w:cs="Arial"/>
          <w:b/>
        </w:rPr>
      </w:pPr>
      <w:r w:rsidRPr="00155357">
        <w:rPr>
          <w:rFonts w:ascii="Century Gothic" w:hAnsi="Century Gothic" w:cs="Arial"/>
          <w:b/>
        </w:rPr>
        <w:t>ATT: Chris Ritchie – Manager, Industry</w:t>
      </w:r>
    </w:p>
    <w:p w14:paraId="46C27006" w14:textId="77777777" w:rsidR="008A7CC4" w:rsidRPr="00155357" w:rsidRDefault="008A7CC4" w:rsidP="008A7CC4">
      <w:pPr>
        <w:pStyle w:val="nostyle"/>
        <w:spacing w:line="230" w:lineRule="exact"/>
        <w:rPr>
          <w:rFonts w:ascii="Century Gothic" w:hAnsi="Century Gothic" w:cs="Arial"/>
        </w:rPr>
      </w:pPr>
    </w:p>
    <w:p w14:paraId="2C506D79" w14:textId="77777777" w:rsidR="00CD6371" w:rsidRPr="00C8781C" w:rsidRDefault="00DA52AC" w:rsidP="0016123E">
      <w:pPr>
        <w:pStyle w:val="StyleBodyTextUnivers55Left"/>
        <w:spacing w:before="240" w:after="240"/>
        <w:jc w:val="both"/>
        <w:rPr>
          <w:rFonts w:ascii="Century Gothic" w:hAnsi="Century Gothic"/>
          <w:b/>
        </w:rPr>
      </w:pPr>
      <w:r w:rsidRPr="00C8781C">
        <w:rPr>
          <w:rFonts w:ascii="Century Gothic" w:hAnsi="Century Gothic"/>
          <w:b/>
        </w:rPr>
        <w:t xml:space="preserve">Re: </w:t>
      </w:r>
      <w:r w:rsidR="003D42C0" w:rsidRPr="00C8781C">
        <w:rPr>
          <w:rFonts w:ascii="Century Gothic" w:hAnsi="Century Gothic"/>
          <w:b/>
        </w:rPr>
        <w:t xml:space="preserve">State Significant Development </w:t>
      </w:r>
      <w:r w:rsidR="00155357" w:rsidRPr="00C8781C">
        <w:rPr>
          <w:rFonts w:ascii="Century Gothic" w:hAnsi="Century Gothic"/>
          <w:b/>
        </w:rPr>
        <w:t xml:space="preserve">(SSD-5041) </w:t>
      </w:r>
      <w:r w:rsidR="003D42C0" w:rsidRPr="00C8781C">
        <w:rPr>
          <w:rFonts w:ascii="Century Gothic" w:hAnsi="Century Gothic"/>
          <w:b/>
        </w:rPr>
        <w:t xml:space="preserve">– </w:t>
      </w:r>
      <w:r w:rsidR="00155357" w:rsidRPr="00C8781C">
        <w:rPr>
          <w:rFonts w:ascii="Century Gothic" w:hAnsi="Century Gothic"/>
          <w:b/>
        </w:rPr>
        <w:t>Updated Specialist Reports</w:t>
      </w:r>
      <w:r w:rsidR="003D42C0" w:rsidRPr="00C8781C">
        <w:rPr>
          <w:rFonts w:ascii="Century Gothic" w:hAnsi="Century Gothic"/>
          <w:b/>
        </w:rPr>
        <w:t xml:space="preserve"> – Kings Park Waste Metal Recovery, Pr</w:t>
      </w:r>
      <w:r w:rsidR="00155357" w:rsidRPr="00C8781C">
        <w:rPr>
          <w:rFonts w:ascii="Century Gothic" w:hAnsi="Century Gothic"/>
          <w:b/>
        </w:rPr>
        <w:t>ocessing and Recycling Facility</w:t>
      </w:r>
    </w:p>
    <w:p w14:paraId="248485E3" w14:textId="77777777" w:rsidR="00046320" w:rsidRPr="00155357" w:rsidRDefault="00046320" w:rsidP="0016123E">
      <w:pPr>
        <w:spacing w:before="120" w:after="120"/>
        <w:jc w:val="both"/>
        <w:rPr>
          <w:rFonts w:ascii="Century Gothic" w:hAnsi="Century Gothic"/>
          <w:sz w:val="20"/>
          <w:szCs w:val="20"/>
        </w:rPr>
      </w:pPr>
    </w:p>
    <w:p w14:paraId="0B112185" w14:textId="77777777" w:rsidR="00FB4E7D" w:rsidRDefault="00960091" w:rsidP="0016123E">
      <w:pPr>
        <w:pStyle w:val="ListParagraph"/>
        <w:numPr>
          <w:ilvl w:val="0"/>
          <w:numId w:val="3"/>
        </w:numPr>
        <w:spacing w:before="120" w:after="120"/>
        <w:jc w:val="both"/>
        <w:rPr>
          <w:rFonts w:ascii="Century Gothic" w:hAnsi="Century Gothic"/>
          <w:b/>
          <w:sz w:val="28"/>
          <w:szCs w:val="28"/>
        </w:rPr>
      </w:pPr>
      <w:r w:rsidRPr="001C2D72">
        <w:rPr>
          <w:rFonts w:ascii="Century Gothic" w:hAnsi="Century Gothic"/>
          <w:b/>
          <w:sz w:val="28"/>
          <w:szCs w:val="28"/>
        </w:rPr>
        <w:t xml:space="preserve">Introduction and </w:t>
      </w:r>
      <w:r w:rsidR="00046320" w:rsidRPr="001C2D72">
        <w:rPr>
          <w:rFonts w:ascii="Century Gothic" w:hAnsi="Century Gothic"/>
          <w:b/>
          <w:sz w:val="28"/>
          <w:szCs w:val="28"/>
        </w:rPr>
        <w:t>Overview</w:t>
      </w:r>
    </w:p>
    <w:p w14:paraId="40E872D1" w14:textId="085D0731" w:rsidR="00221F84" w:rsidRDefault="00F57E76" w:rsidP="0016123E">
      <w:pPr>
        <w:pStyle w:val="StyleBodyTextUnivers55Left"/>
        <w:spacing w:before="120" w:after="120"/>
        <w:jc w:val="both"/>
        <w:rPr>
          <w:rFonts w:ascii="Century Gothic" w:hAnsi="Century Gothic"/>
        </w:rPr>
      </w:pPr>
      <w:r>
        <w:rPr>
          <w:rFonts w:ascii="Century Gothic" w:hAnsi="Century Gothic"/>
        </w:rPr>
        <w:t>Mecone Pty Ltd (Mecone)</w:t>
      </w:r>
      <w:r w:rsidR="00881394">
        <w:rPr>
          <w:rFonts w:ascii="Century Gothic" w:hAnsi="Century Gothic"/>
        </w:rPr>
        <w:t xml:space="preserve"> act on</w:t>
      </w:r>
      <w:r w:rsidR="000474E8" w:rsidRPr="00046320">
        <w:rPr>
          <w:rFonts w:ascii="Century Gothic" w:hAnsi="Century Gothic"/>
        </w:rPr>
        <w:t xml:space="preserve"> behalf of Sell and Parker Pty Ltd </w:t>
      </w:r>
      <w:r w:rsidR="00436E18">
        <w:rPr>
          <w:rFonts w:ascii="Century Gothic" w:hAnsi="Century Gothic"/>
        </w:rPr>
        <w:t xml:space="preserve">(Sell and Parker) </w:t>
      </w:r>
      <w:r w:rsidR="000474E8" w:rsidRPr="00046320">
        <w:rPr>
          <w:rFonts w:ascii="Century Gothic" w:hAnsi="Century Gothic"/>
        </w:rPr>
        <w:t xml:space="preserve">in relation to </w:t>
      </w:r>
      <w:r w:rsidR="00155357">
        <w:rPr>
          <w:rFonts w:ascii="Century Gothic" w:hAnsi="Century Gothic"/>
        </w:rPr>
        <w:t xml:space="preserve">State Significant Development Application SSD-5041, which </w:t>
      </w:r>
      <w:r w:rsidR="00BA6C36" w:rsidRPr="00046320">
        <w:rPr>
          <w:rFonts w:ascii="Century Gothic" w:hAnsi="Century Gothic"/>
        </w:rPr>
        <w:t>seek</w:t>
      </w:r>
      <w:r w:rsidR="00155357">
        <w:rPr>
          <w:rFonts w:ascii="Century Gothic" w:hAnsi="Century Gothic"/>
        </w:rPr>
        <w:t>s</w:t>
      </w:r>
      <w:r w:rsidR="00BA6C36" w:rsidRPr="00046320">
        <w:rPr>
          <w:rFonts w:ascii="Century Gothic" w:hAnsi="Century Gothic"/>
        </w:rPr>
        <w:t xml:space="preserve"> approval to increase the capacity of the existing waste metal recovery, processing and recycling facility at 45 Tattersall Road</w:t>
      </w:r>
      <w:r w:rsidR="00436E18">
        <w:rPr>
          <w:rFonts w:ascii="Century Gothic" w:hAnsi="Century Gothic"/>
        </w:rPr>
        <w:t xml:space="preserve"> (Lot 5 DP 7086)</w:t>
      </w:r>
      <w:r w:rsidR="00BA6C36" w:rsidRPr="00046320">
        <w:rPr>
          <w:rFonts w:ascii="Century Gothic" w:hAnsi="Century Gothic"/>
        </w:rPr>
        <w:t xml:space="preserve">, Kings Park, from 90,000 tonnes </w:t>
      </w:r>
      <w:r w:rsidR="00881394">
        <w:rPr>
          <w:rFonts w:ascii="Century Gothic" w:hAnsi="Century Gothic"/>
        </w:rPr>
        <w:t>per annum (tpa)</w:t>
      </w:r>
      <w:r w:rsidR="00BA6C36" w:rsidRPr="00046320">
        <w:rPr>
          <w:rFonts w:ascii="Century Gothic" w:hAnsi="Century Gothic"/>
        </w:rPr>
        <w:t xml:space="preserve"> to 350,000 </w:t>
      </w:r>
      <w:r w:rsidR="00881394">
        <w:rPr>
          <w:rFonts w:ascii="Century Gothic" w:hAnsi="Century Gothic"/>
        </w:rPr>
        <w:t>tpa</w:t>
      </w:r>
      <w:r w:rsidR="00155357">
        <w:rPr>
          <w:rFonts w:ascii="Century Gothic" w:hAnsi="Century Gothic"/>
        </w:rPr>
        <w:t xml:space="preserve"> </w:t>
      </w:r>
      <w:r w:rsidR="00155357" w:rsidRPr="00046320">
        <w:rPr>
          <w:rFonts w:ascii="Century Gothic" w:hAnsi="Century Gothic"/>
        </w:rPr>
        <w:t>under Section 78A of the Environmental Planning and Assessment Act 1979 (“EP&amp;A Act”)</w:t>
      </w:r>
      <w:r w:rsidR="00155357">
        <w:rPr>
          <w:rFonts w:ascii="Century Gothic" w:hAnsi="Century Gothic"/>
        </w:rPr>
        <w:t>.</w:t>
      </w:r>
      <w:r w:rsidR="00436E18">
        <w:rPr>
          <w:rFonts w:ascii="Century Gothic" w:hAnsi="Century Gothic"/>
        </w:rPr>
        <w:t xml:space="preserve"> </w:t>
      </w:r>
    </w:p>
    <w:p w14:paraId="3089837C" w14:textId="55C373C4" w:rsidR="003A2693" w:rsidRDefault="00B86BCE" w:rsidP="0016123E">
      <w:pPr>
        <w:pStyle w:val="StyleBodyTextUnivers55Left"/>
        <w:spacing w:before="120" w:after="120"/>
        <w:jc w:val="both"/>
        <w:rPr>
          <w:rFonts w:ascii="Century Gothic" w:hAnsi="Century Gothic"/>
        </w:rPr>
      </w:pPr>
      <w:r>
        <w:rPr>
          <w:rFonts w:ascii="Century Gothic" w:hAnsi="Century Gothic"/>
        </w:rPr>
        <w:t xml:space="preserve">The purpose of this </w:t>
      </w:r>
      <w:r w:rsidR="003A2693">
        <w:rPr>
          <w:rFonts w:ascii="Century Gothic" w:hAnsi="Century Gothic"/>
        </w:rPr>
        <w:t>letter</w:t>
      </w:r>
      <w:r w:rsidR="002B20E9">
        <w:rPr>
          <w:rFonts w:ascii="Century Gothic" w:hAnsi="Century Gothic"/>
        </w:rPr>
        <w:t xml:space="preserve"> is to advise of revised environmental mitigation measures proposed </w:t>
      </w:r>
      <w:r>
        <w:rPr>
          <w:rFonts w:ascii="Century Gothic" w:hAnsi="Century Gothic"/>
        </w:rPr>
        <w:t>to the project</w:t>
      </w:r>
      <w:r w:rsidR="003A2693">
        <w:rPr>
          <w:rFonts w:ascii="Century Gothic" w:hAnsi="Century Gothic"/>
        </w:rPr>
        <w:t>, principally</w:t>
      </w:r>
      <w:r w:rsidR="007242BA">
        <w:rPr>
          <w:rFonts w:ascii="Century Gothic" w:hAnsi="Century Gothic"/>
        </w:rPr>
        <w:t xml:space="preserve"> in response to concerns raised by the NSW EPA</w:t>
      </w:r>
      <w:r w:rsidR="005F552F">
        <w:rPr>
          <w:rFonts w:ascii="Century Gothic" w:hAnsi="Century Gothic"/>
        </w:rPr>
        <w:t xml:space="preserve"> </w:t>
      </w:r>
      <w:r w:rsidR="00683699">
        <w:rPr>
          <w:rFonts w:ascii="Century Gothic" w:hAnsi="Century Gothic"/>
        </w:rPr>
        <w:t xml:space="preserve">(“EPA”) </w:t>
      </w:r>
      <w:r w:rsidR="005F552F" w:rsidRPr="00C8781C">
        <w:rPr>
          <w:rFonts w:ascii="Century Gothic" w:hAnsi="Century Gothic"/>
        </w:rPr>
        <w:t>and other stakeholders</w:t>
      </w:r>
      <w:r w:rsidR="007242BA">
        <w:rPr>
          <w:rFonts w:ascii="Century Gothic" w:hAnsi="Century Gothic"/>
        </w:rPr>
        <w:t xml:space="preserve"> on the </w:t>
      </w:r>
      <w:r w:rsidR="00683699">
        <w:rPr>
          <w:rFonts w:ascii="Century Gothic" w:hAnsi="Century Gothic"/>
        </w:rPr>
        <w:t xml:space="preserve">environmental impact of </w:t>
      </w:r>
      <w:r w:rsidR="00C64793">
        <w:rPr>
          <w:rFonts w:ascii="Century Gothic" w:hAnsi="Century Gothic"/>
        </w:rPr>
        <w:t>SSD 5041</w:t>
      </w:r>
      <w:r w:rsidR="005F552F">
        <w:rPr>
          <w:rFonts w:ascii="Century Gothic" w:hAnsi="Century Gothic"/>
        </w:rPr>
        <w:t xml:space="preserve"> submitted to </w:t>
      </w:r>
      <w:r w:rsidR="00C64793">
        <w:rPr>
          <w:rFonts w:ascii="Century Gothic" w:hAnsi="Century Gothic"/>
        </w:rPr>
        <w:t>the Department of Planning</w:t>
      </w:r>
      <w:r w:rsidR="00207791">
        <w:rPr>
          <w:rFonts w:ascii="Century Gothic" w:hAnsi="Century Gothic"/>
        </w:rPr>
        <w:t xml:space="preserve"> and Environment</w:t>
      </w:r>
      <w:r w:rsidR="00C64793">
        <w:rPr>
          <w:rFonts w:ascii="Century Gothic" w:hAnsi="Century Gothic"/>
        </w:rPr>
        <w:t xml:space="preserve"> (</w:t>
      </w:r>
      <w:r w:rsidR="005F552F">
        <w:rPr>
          <w:rFonts w:ascii="Century Gothic" w:hAnsi="Century Gothic"/>
        </w:rPr>
        <w:t>DP&amp;E</w:t>
      </w:r>
      <w:r w:rsidR="00C64793">
        <w:rPr>
          <w:rFonts w:ascii="Century Gothic" w:hAnsi="Century Gothic"/>
        </w:rPr>
        <w:t>)</w:t>
      </w:r>
      <w:r w:rsidR="00CB07F8">
        <w:rPr>
          <w:rFonts w:ascii="Century Gothic" w:hAnsi="Century Gothic"/>
        </w:rPr>
        <w:t>.</w:t>
      </w:r>
      <w:r w:rsidR="005F552F">
        <w:rPr>
          <w:rFonts w:ascii="Century Gothic" w:hAnsi="Century Gothic"/>
        </w:rPr>
        <w:t xml:space="preserve"> </w:t>
      </w:r>
      <w:r w:rsidR="00683699">
        <w:rPr>
          <w:rFonts w:ascii="Century Gothic" w:hAnsi="Century Gothic"/>
        </w:rPr>
        <w:t xml:space="preserve">The </w:t>
      </w:r>
      <w:r w:rsidR="003A2693">
        <w:rPr>
          <w:rFonts w:ascii="Century Gothic" w:hAnsi="Century Gothic"/>
        </w:rPr>
        <w:t>letter</w:t>
      </w:r>
      <w:r w:rsidR="00683699">
        <w:rPr>
          <w:rFonts w:ascii="Century Gothic" w:hAnsi="Century Gothic"/>
        </w:rPr>
        <w:t xml:space="preserve"> will also</w:t>
      </w:r>
      <w:r w:rsidR="005F552F">
        <w:rPr>
          <w:rFonts w:ascii="Century Gothic" w:hAnsi="Century Gothic"/>
        </w:rPr>
        <w:t xml:space="preserve"> desc</w:t>
      </w:r>
      <w:r w:rsidR="00D94F6D">
        <w:rPr>
          <w:rFonts w:ascii="Century Gothic" w:hAnsi="Century Gothic"/>
        </w:rPr>
        <w:t xml:space="preserve">ribe the key findings of </w:t>
      </w:r>
      <w:r w:rsidR="003A2693">
        <w:rPr>
          <w:rFonts w:ascii="Century Gothic" w:hAnsi="Century Gothic"/>
        </w:rPr>
        <w:t xml:space="preserve">the </w:t>
      </w:r>
      <w:r w:rsidR="005F552F">
        <w:rPr>
          <w:rFonts w:ascii="Century Gothic" w:hAnsi="Century Gothic"/>
        </w:rPr>
        <w:t>amended specialist reports</w:t>
      </w:r>
      <w:r w:rsidR="00683699">
        <w:rPr>
          <w:rFonts w:ascii="Century Gothic" w:hAnsi="Century Gothic"/>
        </w:rPr>
        <w:t xml:space="preserve">, </w:t>
      </w:r>
      <w:r w:rsidR="00D94F6D">
        <w:rPr>
          <w:rFonts w:ascii="Century Gothic" w:hAnsi="Century Gothic"/>
        </w:rPr>
        <w:t xml:space="preserve">in order to </w:t>
      </w:r>
      <w:r w:rsidR="00683699">
        <w:rPr>
          <w:rFonts w:ascii="Century Gothic" w:hAnsi="Century Gothic"/>
        </w:rPr>
        <w:t xml:space="preserve">demonstrate that the concerns raised by the EPA in their letter </w:t>
      </w:r>
      <w:r w:rsidR="00AC7FFC">
        <w:rPr>
          <w:rFonts w:ascii="Century Gothic" w:hAnsi="Century Gothic"/>
          <w:i/>
        </w:rPr>
        <w:t xml:space="preserve">“Refusal to grant General Terms of Approval” </w:t>
      </w:r>
      <w:r w:rsidR="00EE5E78">
        <w:rPr>
          <w:rFonts w:ascii="Century Gothic" w:hAnsi="Century Gothic"/>
        </w:rPr>
        <w:t xml:space="preserve">(“refusal letter”) </w:t>
      </w:r>
      <w:r w:rsidR="00683699">
        <w:rPr>
          <w:rFonts w:ascii="Century Gothic" w:hAnsi="Century Gothic"/>
        </w:rPr>
        <w:t>dated 22 April 2015</w:t>
      </w:r>
      <w:r w:rsidR="002B20E9">
        <w:rPr>
          <w:rFonts w:ascii="Century Gothic" w:hAnsi="Century Gothic"/>
        </w:rPr>
        <w:t>,</w:t>
      </w:r>
      <w:r w:rsidR="00683699">
        <w:rPr>
          <w:rFonts w:ascii="Century Gothic" w:hAnsi="Century Gothic"/>
        </w:rPr>
        <w:t xml:space="preserve"> have been </w:t>
      </w:r>
      <w:r w:rsidR="002B20E9">
        <w:rPr>
          <w:rFonts w:ascii="Century Gothic" w:hAnsi="Century Gothic"/>
        </w:rPr>
        <w:t xml:space="preserve">comprehensively </w:t>
      </w:r>
      <w:r w:rsidR="00683699">
        <w:rPr>
          <w:rFonts w:ascii="Century Gothic" w:hAnsi="Century Gothic"/>
        </w:rPr>
        <w:t xml:space="preserve">addressed, and </w:t>
      </w:r>
      <w:r w:rsidR="00AC7FFC">
        <w:rPr>
          <w:rFonts w:ascii="Century Gothic" w:hAnsi="Century Gothic"/>
        </w:rPr>
        <w:t xml:space="preserve">that </w:t>
      </w:r>
      <w:r w:rsidR="00683699">
        <w:rPr>
          <w:rFonts w:ascii="Century Gothic" w:hAnsi="Century Gothic"/>
        </w:rPr>
        <w:t xml:space="preserve">an improved environmental outcome can been achieved through the implementation of the </w:t>
      </w:r>
      <w:r w:rsidR="002B20E9">
        <w:rPr>
          <w:rFonts w:ascii="Century Gothic" w:hAnsi="Century Gothic"/>
        </w:rPr>
        <w:t>revised</w:t>
      </w:r>
      <w:r w:rsidR="003A2693">
        <w:rPr>
          <w:rFonts w:ascii="Century Gothic" w:hAnsi="Century Gothic"/>
        </w:rPr>
        <w:t xml:space="preserve"> mitigation measures</w:t>
      </w:r>
      <w:r w:rsidR="00683699">
        <w:rPr>
          <w:rFonts w:ascii="Century Gothic" w:hAnsi="Century Gothic"/>
        </w:rPr>
        <w:t xml:space="preserve">. </w:t>
      </w:r>
    </w:p>
    <w:p w14:paraId="2E35C019" w14:textId="30DACDC5" w:rsidR="00C64793" w:rsidRDefault="007546C8" w:rsidP="0016123E">
      <w:pPr>
        <w:pStyle w:val="StyleBodyTextUnivers55Left"/>
        <w:spacing w:before="120" w:after="120"/>
        <w:jc w:val="both"/>
        <w:rPr>
          <w:rFonts w:ascii="Century Gothic" w:hAnsi="Century Gothic"/>
        </w:rPr>
      </w:pPr>
      <w:r>
        <w:rPr>
          <w:rFonts w:ascii="Century Gothic" w:hAnsi="Century Gothic"/>
        </w:rPr>
        <w:t xml:space="preserve">The amendments to the project, whilst resulting in an improvement to </w:t>
      </w:r>
      <w:r w:rsidR="00207791">
        <w:rPr>
          <w:rFonts w:ascii="Century Gothic" w:hAnsi="Century Gothic"/>
        </w:rPr>
        <w:t xml:space="preserve">its </w:t>
      </w:r>
      <w:r>
        <w:rPr>
          <w:rFonts w:ascii="Century Gothic" w:hAnsi="Century Gothic"/>
        </w:rPr>
        <w:t xml:space="preserve"> environmental performance, do not </w:t>
      </w:r>
      <w:r w:rsidR="00C64793">
        <w:rPr>
          <w:rFonts w:ascii="Century Gothic" w:hAnsi="Century Gothic"/>
        </w:rPr>
        <w:t xml:space="preserve">represent a </w:t>
      </w:r>
      <w:r>
        <w:rPr>
          <w:rFonts w:ascii="Century Gothic" w:hAnsi="Century Gothic"/>
        </w:rPr>
        <w:t>substantive change to the overall waste metal recycling facility and the process</w:t>
      </w:r>
      <w:r w:rsidR="00C64793">
        <w:rPr>
          <w:rFonts w:ascii="Century Gothic" w:hAnsi="Century Gothic"/>
        </w:rPr>
        <w:t>es</w:t>
      </w:r>
      <w:r>
        <w:rPr>
          <w:rFonts w:ascii="Century Gothic" w:hAnsi="Century Gothic"/>
        </w:rPr>
        <w:t xml:space="preserve"> described in the originally submitted </w:t>
      </w:r>
      <w:r w:rsidR="00A96AFA">
        <w:rPr>
          <w:rFonts w:ascii="Century Gothic" w:hAnsi="Century Gothic"/>
        </w:rPr>
        <w:t xml:space="preserve">SSD </w:t>
      </w:r>
      <w:r>
        <w:rPr>
          <w:rFonts w:ascii="Century Gothic" w:hAnsi="Century Gothic"/>
        </w:rPr>
        <w:t xml:space="preserve">application. </w:t>
      </w:r>
    </w:p>
    <w:p w14:paraId="25C5F432" w14:textId="77777777" w:rsidR="00155357" w:rsidRDefault="00155357" w:rsidP="0016123E">
      <w:pPr>
        <w:pStyle w:val="StyleBodyTextUnivers55Left"/>
        <w:spacing w:before="120" w:after="120"/>
        <w:jc w:val="both"/>
        <w:rPr>
          <w:rFonts w:ascii="Century Gothic" w:hAnsi="Century Gothic"/>
        </w:rPr>
      </w:pPr>
    </w:p>
    <w:p w14:paraId="3635E8AC" w14:textId="77777777" w:rsidR="00D94F6D" w:rsidRDefault="00D94F6D" w:rsidP="0016123E">
      <w:pPr>
        <w:pStyle w:val="ListParagraph"/>
        <w:numPr>
          <w:ilvl w:val="0"/>
          <w:numId w:val="3"/>
        </w:numPr>
        <w:spacing w:before="120" w:after="120"/>
        <w:contextualSpacing w:val="0"/>
        <w:jc w:val="both"/>
        <w:rPr>
          <w:rFonts w:ascii="Century Gothic" w:hAnsi="Century Gothic"/>
          <w:b/>
          <w:sz w:val="28"/>
          <w:szCs w:val="28"/>
        </w:rPr>
      </w:pPr>
      <w:r w:rsidRPr="00FB4E7D">
        <w:rPr>
          <w:rFonts w:ascii="Century Gothic" w:hAnsi="Century Gothic"/>
          <w:b/>
          <w:sz w:val="28"/>
          <w:szCs w:val="28"/>
        </w:rPr>
        <w:t>Background</w:t>
      </w:r>
    </w:p>
    <w:p w14:paraId="4D2BE567" w14:textId="77777777" w:rsidR="00527B7E" w:rsidRPr="00527B7E" w:rsidRDefault="00E5462D" w:rsidP="00795D7C">
      <w:pPr>
        <w:pStyle w:val="ListParagraph"/>
        <w:numPr>
          <w:ilvl w:val="1"/>
          <w:numId w:val="3"/>
        </w:numPr>
        <w:spacing w:before="120" w:after="120"/>
        <w:ind w:hanging="502"/>
        <w:jc w:val="both"/>
        <w:rPr>
          <w:rFonts w:ascii="Century Gothic" w:hAnsi="Century Gothic"/>
          <w:b/>
          <w:szCs w:val="28"/>
        </w:rPr>
      </w:pPr>
      <w:r>
        <w:rPr>
          <w:rFonts w:ascii="Century Gothic" w:hAnsi="Century Gothic"/>
          <w:b/>
          <w:szCs w:val="28"/>
        </w:rPr>
        <w:t xml:space="preserve"> </w:t>
      </w:r>
      <w:r w:rsidR="00527B7E" w:rsidRPr="00527B7E">
        <w:rPr>
          <w:rFonts w:ascii="Century Gothic" w:hAnsi="Century Gothic"/>
          <w:b/>
          <w:szCs w:val="28"/>
        </w:rPr>
        <w:t>Summary of proposed development</w:t>
      </w:r>
    </w:p>
    <w:p w14:paraId="280C6EDF" w14:textId="77777777" w:rsidR="00FB4E7D" w:rsidRDefault="00FB4E7D" w:rsidP="0016123E">
      <w:pPr>
        <w:spacing w:before="120" w:after="120"/>
        <w:jc w:val="both"/>
        <w:rPr>
          <w:rFonts w:ascii="Century Gothic" w:hAnsi="Century Gothic"/>
          <w:sz w:val="20"/>
          <w:szCs w:val="20"/>
        </w:rPr>
      </w:pPr>
      <w:r w:rsidRPr="00FB4E7D">
        <w:rPr>
          <w:rFonts w:ascii="Century Gothic" w:hAnsi="Century Gothic"/>
          <w:sz w:val="20"/>
          <w:szCs w:val="20"/>
        </w:rPr>
        <w:t xml:space="preserve">Approval is </w:t>
      </w:r>
      <w:r>
        <w:rPr>
          <w:rFonts w:ascii="Century Gothic" w:hAnsi="Century Gothic"/>
          <w:sz w:val="20"/>
          <w:szCs w:val="20"/>
        </w:rPr>
        <w:t xml:space="preserve">being </w:t>
      </w:r>
      <w:r w:rsidRPr="00FB4E7D">
        <w:rPr>
          <w:rFonts w:ascii="Century Gothic" w:hAnsi="Century Gothic"/>
          <w:sz w:val="20"/>
          <w:szCs w:val="20"/>
        </w:rPr>
        <w:t>sought for an increase in the capacity of the existing waste metal recovery, processing and recycling facility at 45 Tattersall Road from 90,000 tpa to 350,000 tpa. To increase the capacity it is proposed that the site be reconfigured and expanded to the adjoining lot (23-43 Tattersall Road).</w:t>
      </w:r>
    </w:p>
    <w:p w14:paraId="00061B4F" w14:textId="60DE1091" w:rsidR="00FB4E7D" w:rsidRDefault="00FB4E7D" w:rsidP="0016123E">
      <w:pPr>
        <w:spacing w:before="120" w:after="120"/>
        <w:jc w:val="both"/>
        <w:rPr>
          <w:rFonts w:ascii="Century Gothic" w:hAnsi="Century Gothic"/>
          <w:sz w:val="20"/>
          <w:szCs w:val="20"/>
        </w:rPr>
      </w:pPr>
      <w:r w:rsidRPr="00FB4E7D">
        <w:rPr>
          <w:rFonts w:ascii="Century Gothic" w:hAnsi="Century Gothic"/>
          <w:sz w:val="20"/>
          <w:szCs w:val="20"/>
        </w:rPr>
        <w:t xml:space="preserve">The proposed expansion would enable Sell and Parker to better utilise the existing plant and equipment in a manner which can respond to increasing demands, including community expectations for efficient and effective metal resource </w:t>
      </w:r>
      <w:r w:rsidRPr="00FB4E7D">
        <w:rPr>
          <w:rFonts w:ascii="Century Gothic" w:hAnsi="Century Gothic"/>
          <w:sz w:val="20"/>
          <w:szCs w:val="20"/>
        </w:rPr>
        <w:lastRenderedPageBreak/>
        <w:t>recovery and recycling facilities.</w:t>
      </w:r>
      <w:r w:rsidR="00CB07F8">
        <w:rPr>
          <w:rFonts w:ascii="Century Gothic" w:hAnsi="Century Gothic"/>
          <w:sz w:val="20"/>
          <w:szCs w:val="20"/>
        </w:rPr>
        <w:t xml:space="preserve"> This project has significant State and regional benefits, and represents one of only two hammermills operating within the Sydney basin. </w:t>
      </w:r>
    </w:p>
    <w:p w14:paraId="05526551" w14:textId="77777777" w:rsidR="00527B7E" w:rsidRPr="00FB4E7D" w:rsidRDefault="00527B7E" w:rsidP="0016123E">
      <w:pPr>
        <w:spacing w:before="120" w:after="120"/>
        <w:jc w:val="both"/>
        <w:rPr>
          <w:rFonts w:ascii="Century Gothic" w:hAnsi="Century Gothic"/>
          <w:sz w:val="20"/>
          <w:szCs w:val="20"/>
        </w:rPr>
      </w:pPr>
    </w:p>
    <w:p w14:paraId="45059012" w14:textId="77777777" w:rsidR="00527B7E" w:rsidRPr="00527B7E" w:rsidRDefault="00527B7E" w:rsidP="00795D7C">
      <w:pPr>
        <w:pStyle w:val="ListParagraph"/>
        <w:numPr>
          <w:ilvl w:val="1"/>
          <w:numId w:val="3"/>
        </w:numPr>
        <w:spacing w:before="120" w:after="120"/>
        <w:ind w:hanging="502"/>
        <w:jc w:val="both"/>
        <w:rPr>
          <w:rFonts w:ascii="Century Gothic" w:hAnsi="Century Gothic"/>
          <w:b/>
          <w:szCs w:val="28"/>
        </w:rPr>
      </w:pPr>
      <w:r>
        <w:rPr>
          <w:rFonts w:ascii="Century Gothic" w:hAnsi="Century Gothic"/>
          <w:b/>
          <w:szCs w:val="28"/>
        </w:rPr>
        <w:t xml:space="preserve"> </w:t>
      </w:r>
      <w:r w:rsidR="00E5462D">
        <w:rPr>
          <w:rFonts w:ascii="Century Gothic" w:hAnsi="Century Gothic"/>
          <w:b/>
          <w:szCs w:val="28"/>
        </w:rPr>
        <w:t xml:space="preserve"> </w:t>
      </w:r>
      <w:r w:rsidR="0016123E">
        <w:rPr>
          <w:rFonts w:ascii="Century Gothic" w:hAnsi="Century Gothic"/>
          <w:b/>
          <w:szCs w:val="28"/>
        </w:rPr>
        <w:t>Approval</w:t>
      </w:r>
      <w:r>
        <w:rPr>
          <w:rFonts w:ascii="Century Gothic" w:hAnsi="Century Gothic"/>
          <w:b/>
          <w:szCs w:val="28"/>
        </w:rPr>
        <w:t xml:space="preserve"> process</w:t>
      </w:r>
    </w:p>
    <w:p w14:paraId="0174DA27" w14:textId="27CB2B84" w:rsidR="00FB4E7D" w:rsidRDefault="00D5742B" w:rsidP="0016123E">
      <w:pPr>
        <w:spacing w:before="120" w:after="120"/>
        <w:jc w:val="both"/>
        <w:rPr>
          <w:rFonts w:ascii="Century Gothic" w:hAnsi="Century Gothic"/>
          <w:sz w:val="20"/>
          <w:szCs w:val="20"/>
        </w:rPr>
      </w:pPr>
      <w:r>
        <w:rPr>
          <w:rFonts w:ascii="Century Gothic" w:hAnsi="Century Gothic"/>
          <w:sz w:val="20"/>
          <w:szCs w:val="20"/>
        </w:rPr>
        <w:t xml:space="preserve">Director General’s Requirements (DGRs) were issued in relation to the proposal (SSD-5041) on 22 December 2011, which guided the preparation of an Environmental Impact Statement (EIS) to assess the potential impacts of the proposed activity. </w:t>
      </w:r>
      <w:r w:rsidRPr="00C8781C">
        <w:rPr>
          <w:rFonts w:ascii="Century Gothic" w:hAnsi="Century Gothic"/>
          <w:sz w:val="20"/>
          <w:szCs w:val="20"/>
        </w:rPr>
        <w:t xml:space="preserve">Revised DGRs </w:t>
      </w:r>
      <w:r w:rsidR="005255CE" w:rsidRPr="00C8781C">
        <w:rPr>
          <w:rFonts w:ascii="Century Gothic" w:hAnsi="Century Gothic"/>
          <w:sz w:val="20"/>
          <w:szCs w:val="20"/>
        </w:rPr>
        <w:t xml:space="preserve">were </w:t>
      </w:r>
      <w:r w:rsidRPr="00C8781C">
        <w:rPr>
          <w:rFonts w:ascii="Century Gothic" w:hAnsi="Century Gothic"/>
          <w:sz w:val="20"/>
          <w:szCs w:val="20"/>
        </w:rPr>
        <w:t xml:space="preserve">subsequently issued </w:t>
      </w:r>
      <w:r w:rsidR="005255CE" w:rsidRPr="00C8781C">
        <w:rPr>
          <w:rFonts w:ascii="Century Gothic" w:hAnsi="Century Gothic"/>
          <w:sz w:val="20"/>
          <w:szCs w:val="20"/>
        </w:rPr>
        <w:t>o</w:t>
      </w:r>
      <w:r w:rsidRPr="00C8781C">
        <w:rPr>
          <w:rFonts w:ascii="Century Gothic" w:hAnsi="Century Gothic"/>
          <w:sz w:val="20"/>
          <w:szCs w:val="20"/>
        </w:rPr>
        <w:t xml:space="preserve">n </w:t>
      </w:r>
      <w:r w:rsidR="005255CE" w:rsidRPr="00C8781C">
        <w:rPr>
          <w:rFonts w:ascii="Century Gothic" w:hAnsi="Century Gothic"/>
          <w:sz w:val="20"/>
          <w:szCs w:val="20"/>
        </w:rPr>
        <w:t xml:space="preserve">23 </w:t>
      </w:r>
      <w:r w:rsidRPr="00C8781C">
        <w:rPr>
          <w:rFonts w:ascii="Century Gothic" w:hAnsi="Century Gothic"/>
          <w:sz w:val="20"/>
          <w:szCs w:val="20"/>
        </w:rPr>
        <w:t xml:space="preserve">December 2013 </w:t>
      </w:r>
      <w:r w:rsidR="005255CE" w:rsidRPr="00C8781C">
        <w:rPr>
          <w:rFonts w:ascii="Century Gothic" w:hAnsi="Century Gothic"/>
          <w:sz w:val="20"/>
          <w:szCs w:val="20"/>
        </w:rPr>
        <w:t>in response to</w:t>
      </w:r>
      <w:r w:rsidRPr="00C8781C">
        <w:rPr>
          <w:rFonts w:ascii="Century Gothic" w:hAnsi="Century Gothic"/>
          <w:sz w:val="20"/>
          <w:szCs w:val="20"/>
        </w:rPr>
        <w:t xml:space="preserve"> </w:t>
      </w:r>
      <w:r w:rsidR="00CB07F8" w:rsidRPr="00C8781C">
        <w:rPr>
          <w:rFonts w:ascii="Century Gothic" w:hAnsi="Century Gothic"/>
          <w:sz w:val="20"/>
          <w:szCs w:val="20"/>
        </w:rPr>
        <w:t xml:space="preserve">amendments to the Project and </w:t>
      </w:r>
      <w:r w:rsidR="009523C3" w:rsidRPr="00C8781C">
        <w:rPr>
          <w:rFonts w:ascii="Century Gothic" w:hAnsi="Century Gothic"/>
          <w:sz w:val="20"/>
          <w:szCs w:val="20"/>
        </w:rPr>
        <w:t xml:space="preserve">its </w:t>
      </w:r>
      <w:r w:rsidR="00CB07F8" w:rsidRPr="00C8781C">
        <w:rPr>
          <w:rFonts w:ascii="Century Gothic" w:hAnsi="Century Gothic"/>
          <w:sz w:val="20"/>
          <w:szCs w:val="20"/>
        </w:rPr>
        <w:t xml:space="preserve">property description.  </w:t>
      </w:r>
    </w:p>
    <w:p w14:paraId="7AE1C2BC" w14:textId="166E4C7D" w:rsidR="00D5742B" w:rsidRDefault="00D5742B" w:rsidP="0016123E">
      <w:pPr>
        <w:spacing w:before="120" w:after="120"/>
        <w:jc w:val="both"/>
        <w:rPr>
          <w:rFonts w:ascii="Century Gothic" w:hAnsi="Century Gothic"/>
          <w:sz w:val="20"/>
          <w:szCs w:val="20"/>
        </w:rPr>
      </w:pPr>
      <w:r>
        <w:rPr>
          <w:rFonts w:ascii="Century Gothic" w:hAnsi="Century Gothic"/>
          <w:sz w:val="20"/>
          <w:szCs w:val="20"/>
        </w:rPr>
        <w:t>Sell &amp; Parker</w:t>
      </w:r>
      <w:r w:rsidR="005255CE" w:rsidRPr="005255CE">
        <w:rPr>
          <w:rFonts w:ascii="Century Gothic" w:hAnsi="Century Gothic"/>
          <w:sz w:val="20"/>
          <w:szCs w:val="20"/>
        </w:rPr>
        <w:t xml:space="preserve"> </w:t>
      </w:r>
      <w:r w:rsidR="005255CE">
        <w:rPr>
          <w:rFonts w:ascii="Century Gothic" w:hAnsi="Century Gothic"/>
          <w:sz w:val="20"/>
          <w:szCs w:val="20"/>
        </w:rPr>
        <w:t xml:space="preserve">engaged Environmental Resource Management (ERM) </w:t>
      </w:r>
      <w:r w:rsidR="009523C3">
        <w:rPr>
          <w:rFonts w:ascii="Century Gothic" w:hAnsi="Century Gothic"/>
          <w:sz w:val="20"/>
          <w:szCs w:val="20"/>
        </w:rPr>
        <w:t xml:space="preserve">to prepare an </w:t>
      </w:r>
      <w:r>
        <w:rPr>
          <w:rFonts w:ascii="Century Gothic" w:hAnsi="Century Gothic"/>
          <w:sz w:val="20"/>
          <w:szCs w:val="20"/>
        </w:rPr>
        <w:t>EIS to assess the potential environmental effects</w:t>
      </w:r>
      <w:r w:rsidR="005255CE">
        <w:rPr>
          <w:rFonts w:ascii="Century Gothic" w:hAnsi="Century Gothic"/>
          <w:sz w:val="20"/>
          <w:szCs w:val="20"/>
        </w:rPr>
        <w:t xml:space="preserve"> of the proposed activity, which was submitted to the Department on </w:t>
      </w:r>
      <w:r w:rsidR="00CB07F8" w:rsidRPr="00CB07F8">
        <w:rPr>
          <w:rFonts w:ascii="Century Gothic" w:hAnsi="Century Gothic"/>
          <w:sz w:val="20"/>
          <w:szCs w:val="20"/>
        </w:rPr>
        <w:t>17 March 2014</w:t>
      </w:r>
      <w:r w:rsidR="005255CE">
        <w:rPr>
          <w:rFonts w:ascii="Century Gothic" w:hAnsi="Century Gothic"/>
          <w:sz w:val="20"/>
          <w:szCs w:val="20"/>
        </w:rPr>
        <w:t>.</w:t>
      </w:r>
    </w:p>
    <w:p w14:paraId="41F8ABD2" w14:textId="602A668C" w:rsidR="005255CE" w:rsidRPr="00FB4E7D" w:rsidRDefault="005255CE" w:rsidP="0016123E">
      <w:pPr>
        <w:spacing w:before="120" w:after="120"/>
        <w:jc w:val="both"/>
        <w:rPr>
          <w:rFonts w:ascii="Century Gothic" w:hAnsi="Century Gothic"/>
          <w:sz w:val="20"/>
          <w:szCs w:val="20"/>
        </w:rPr>
      </w:pPr>
      <w:r>
        <w:rPr>
          <w:rFonts w:ascii="Century Gothic" w:hAnsi="Century Gothic"/>
          <w:sz w:val="20"/>
          <w:szCs w:val="20"/>
        </w:rPr>
        <w:t xml:space="preserve">Public exhibition of the project commenced on 27 August 2014, and ended on 10 October 2014. Nine (9) submissions were received during this period from relevant </w:t>
      </w:r>
      <w:r w:rsidR="009523C3">
        <w:rPr>
          <w:rFonts w:ascii="Century Gothic" w:hAnsi="Century Gothic"/>
          <w:sz w:val="20"/>
          <w:szCs w:val="20"/>
        </w:rPr>
        <w:t>S</w:t>
      </w:r>
      <w:r w:rsidR="00F16F55">
        <w:rPr>
          <w:rFonts w:ascii="Century Gothic" w:hAnsi="Century Gothic"/>
          <w:sz w:val="20"/>
          <w:szCs w:val="20"/>
        </w:rPr>
        <w:t xml:space="preserve">tate </w:t>
      </w:r>
      <w:r>
        <w:rPr>
          <w:rFonts w:ascii="Century Gothic" w:hAnsi="Century Gothic"/>
          <w:sz w:val="20"/>
          <w:szCs w:val="20"/>
        </w:rPr>
        <w:t xml:space="preserve">agencies and </w:t>
      </w:r>
      <w:r w:rsidR="00F16F55">
        <w:rPr>
          <w:rFonts w:ascii="Century Gothic" w:hAnsi="Century Gothic"/>
          <w:sz w:val="20"/>
          <w:szCs w:val="20"/>
        </w:rPr>
        <w:t xml:space="preserve">community </w:t>
      </w:r>
      <w:r>
        <w:rPr>
          <w:rFonts w:ascii="Century Gothic" w:hAnsi="Century Gothic"/>
          <w:sz w:val="20"/>
          <w:szCs w:val="20"/>
        </w:rPr>
        <w:t xml:space="preserve">stakeholders, including the EPA, Office of Environment &amp; Heritage, Roads and Maritime Services, </w:t>
      </w:r>
      <w:r w:rsidR="00F16F55">
        <w:rPr>
          <w:rFonts w:ascii="Century Gothic" w:hAnsi="Century Gothic"/>
          <w:sz w:val="20"/>
          <w:szCs w:val="20"/>
        </w:rPr>
        <w:t>NSW Office of Water, and Blacktown City Council.</w:t>
      </w:r>
    </w:p>
    <w:p w14:paraId="7BE47086" w14:textId="66AF659C" w:rsidR="00D94F6D" w:rsidRDefault="009523C3" w:rsidP="0016123E">
      <w:pPr>
        <w:spacing w:before="120" w:after="120"/>
        <w:jc w:val="both"/>
        <w:rPr>
          <w:rFonts w:ascii="Century Gothic" w:hAnsi="Century Gothic"/>
          <w:sz w:val="20"/>
          <w:szCs w:val="20"/>
        </w:rPr>
      </w:pPr>
      <w:r>
        <w:rPr>
          <w:rFonts w:ascii="Century Gothic" w:hAnsi="Century Gothic"/>
          <w:sz w:val="20"/>
          <w:szCs w:val="20"/>
        </w:rPr>
        <w:t xml:space="preserve">ERM </w:t>
      </w:r>
      <w:r w:rsidR="00F16F55">
        <w:rPr>
          <w:rFonts w:ascii="Century Gothic" w:hAnsi="Century Gothic"/>
          <w:sz w:val="20"/>
          <w:szCs w:val="20"/>
        </w:rPr>
        <w:t xml:space="preserve">on behalf of Sell &amp; Parker – provided a response to state agency and community submissions </w:t>
      </w:r>
      <w:r w:rsidR="00CB07F8">
        <w:rPr>
          <w:rFonts w:ascii="Century Gothic" w:hAnsi="Century Gothic"/>
          <w:sz w:val="20"/>
          <w:szCs w:val="20"/>
        </w:rPr>
        <w:t xml:space="preserve">(Response to Submissions) </w:t>
      </w:r>
      <w:r w:rsidR="00F16F55">
        <w:rPr>
          <w:rFonts w:ascii="Century Gothic" w:hAnsi="Century Gothic"/>
          <w:sz w:val="20"/>
          <w:szCs w:val="20"/>
        </w:rPr>
        <w:t>on 7 January 2015, including updated supporting information on the following matters:</w:t>
      </w:r>
    </w:p>
    <w:p w14:paraId="05BDD1B3" w14:textId="77777777" w:rsidR="00F16F55" w:rsidRPr="00F16F55" w:rsidRDefault="00F16F55" w:rsidP="0016123E">
      <w:pPr>
        <w:pStyle w:val="StyleBodyTextUnivers55Left"/>
        <w:numPr>
          <w:ilvl w:val="0"/>
          <w:numId w:val="4"/>
        </w:numPr>
        <w:spacing w:before="120" w:after="120"/>
        <w:jc w:val="both"/>
        <w:rPr>
          <w:rFonts w:ascii="Century Gothic" w:hAnsi="Century Gothic"/>
        </w:rPr>
      </w:pPr>
      <w:r w:rsidRPr="00F16F55">
        <w:rPr>
          <w:rFonts w:ascii="Century Gothic" w:hAnsi="Century Gothic"/>
        </w:rPr>
        <w:t>Additional Traffic Information;</w:t>
      </w:r>
    </w:p>
    <w:p w14:paraId="5E226DCF" w14:textId="77777777" w:rsidR="00F16F55" w:rsidRPr="00F16F55" w:rsidRDefault="00F16F55" w:rsidP="0016123E">
      <w:pPr>
        <w:pStyle w:val="StyleBodyTextUnivers55Left"/>
        <w:numPr>
          <w:ilvl w:val="0"/>
          <w:numId w:val="4"/>
        </w:numPr>
        <w:spacing w:before="120" w:after="120"/>
        <w:jc w:val="both"/>
        <w:rPr>
          <w:rFonts w:ascii="Century Gothic" w:hAnsi="Century Gothic"/>
        </w:rPr>
      </w:pPr>
      <w:r w:rsidRPr="00F16F55">
        <w:rPr>
          <w:rFonts w:ascii="Century Gothic" w:hAnsi="Century Gothic"/>
        </w:rPr>
        <w:t>A revised Air Quality Assessment and Benchmarking Study;</w:t>
      </w:r>
    </w:p>
    <w:p w14:paraId="69DB775D" w14:textId="77777777" w:rsidR="00F16F55" w:rsidRPr="00F16F55" w:rsidRDefault="00F16F55" w:rsidP="0016123E">
      <w:pPr>
        <w:pStyle w:val="StyleBodyTextUnivers55Left"/>
        <w:numPr>
          <w:ilvl w:val="0"/>
          <w:numId w:val="4"/>
        </w:numPr>
        <w:spacing w:before="120" w:after="120"/>
        <w:jc w:val="both"/>
        <w:rPr>
          <w:rFonts w:ascii="Century Gothic" w:hAnsi="Century Gothic"/>
        </w:rPr>
      </w:pPr>
      <w:r w:rsidRPr="00F16F55">
        <w:rPr>
          <w:rFonts w:ascii="Century Gothic" w:hAnsi="Century Gothic"/>
        </w:rPr>
        <w:t>A revised Environmental R</w:t>
      </w:r>
      <w:r w:rsidR="00FA486E">
        <w:rPr>
          <w:rFonts w:ascii="Century Gothic" w:hAnsi="Century Gothic"/>
        </w:rPr>
        <w:t>i</w:t>
      </w:r>
      <w:r w:rsidRPr="00F16F55">
        <w:rPr>
          <w:rFonts w:ascii="Century Gothic" w:hAnsi="Century Gothic"/>
        </w:rPr>
        <w:t>sk Assessment; and</w:t>
      </w:r>
    </w:p>
    <w:p w14:paraId="237F0A78" w14:textId="77777777" w:rsidR="00F16F55" w:rsidRPr="00F16F55" w:rsidRDefault="00F16F55" w:rsidP="0016123E">
      <w:pPr>
        <w:pStyle w:val="StyleBodyTextUnivers55Left"/>
        <w:numPr>
          <w:ilvl w:val="0"/>
          <w:numId w:val="4"/>
        </w:numPr>
        <w:spacing w:before="120" w:after="120"/>
        <w:jc w:val="both"/>
        <w:rPr>
          <w:rFonts w:ascii="Century Gothic" w:hAnsi="Century Gothic"/>
        </w:rPr>
      </w:pPr>
      <w:r w:rsidRPr="00F16F55">
        <w:rPr>
          <w:rFonts w:ascii="Century Gothic" w:hAnsi="Century Gothic"/>
        </w:rPr>
        <w:t>Additional documentation relating to Breakfast Creek and the Riparian Zone.</w:t>
      </w:r>
    </w:p>
    <w:p w14:paraId="5BC175B5" w14:textId="77777777" w:rsidR="00F16F55" w:rsidRDefault="00F16F55" w:rsidP="0016123E">
      <w:pPr>
        <w:spacing w:before="120" w:after="120"/>
        <w:jc w:val="both"/>
        <w:rPr>
          <w:rFonts w:ascii="Century Gothic" w:hAnsi="Century Gothic"/>
          <w:sz w:val="20"/>
          <w:szCs w:val="20"/>
        </w:rPr>
      </w:pPr>
      <w:r>
        <w:rPr>
          <w:rFonts w:ascii="Century Gothic" w:hAnsi="Century Gothic"/>
          <w:sz w:val="20"/>
          <w:szCs w:val="20"/>
        </w:rPr>
        <w:t>Further correspondence was provided to DP&amp;E on 22 January 2015 to address matters raised in a late submission made by an adjoining business owner, which related to the character of the immediate area, concerns regarding Sell &amp; Parker’s compliance with previous Council consent conditions, and air quality.</w:t>
      </w:r>
    </w:p>
    <w:p w14:paraId="27CD91F9" w14:textId="77777777" w:rsidR="006D6DED" w:rsidRDefault="006D6DED" w:rsidP="0016123E">
      <w:pPr>
        <w:spacing w:before="120" w:after="120"/>
        <w:jc w:val="both"/>
        <w:rPr>
          <w:rFonts w:ascii="Century Gothic" w:hAnsi="Century Gothic"/>
          <w:sz w:val="20"/>
          <w:szCs w:val="20"/>
        </w:rPr>
      </w:pPr>
    </w:p>
    <w:p w14:paraId="1465C28B" w14:textId="1F729D92" w:rsidR="006D6DED" w:rsidRPr="00527B7E" w:rsidRDefault="006D6DED" w:rsidP="00795D7C">
      <w:pPr>
        <w:pStyle w:val="ListParagraph"/>
        <w:numPr>
          <w:ilvl w:val="1"/>
          <w:numId w:val="3"/>
        </w:numPr>
        <w:spacing w:before="120" w:after="120"/>
        <w:ind w:hanging="502"/>
        <w:jc w:val="both"/>
        <w:rPr>
          <w:rFonts w:ascii="Century Gothic" w:hAnsi="Century Gothic"/>
          <w:b/>
          <w:szCs w:val="28"/>
        </w:rPr>
      </w:pPr>
      <w:r>
        <w:rPr>
          <w:rFonts w:ascii="Century Gothic" w:hAnsi="Century Gothic"/>
          <w:b/>
          <w:szCs w:val="28"/>
        </w:rPr>
        <w:t xml:space="preserve"> </w:t>
      </w:r>
      <w:r w:rsidR="009523C3">
        <w:rPr>
          <w:rFonts w:ascii="Century Gothic" w:hAnsi="Century Gothic"/>
          <w:b/>
          <w:szCs w:val="28"/>
        </w:rPr>
        <w:t>R</w:t>
      </w:r>
      <w:r>
        <w:rPr>
          <w:rFonts w:ascii="Century Gothic" w:hAnsi="Century Gothic"/>
          <w:b/>
          <w:szCs w:val="28"/>
        </w:rPr>
        <w:t>equest for further additional information</w:t>
      </w:r>
    </w:p>
    <w:p w14:paraId="1EE5141B" w14:textId="58DF46B0" w:rsidR="00527B7E" w:rsidRDefault="006D6DED" w:rsidP="0016123E">
      <w:pPr>
        <w:spacing w:before="120" w:after="120"/>
        <w:jc w:val="both"/>
        <w:rPr>
          <w:rFonts w:ascii="Century Gothic" w:hAnsi="Century Gothic"/>
          <w:sz w:val="20"/>
          <w:szCs w:val="20"/>
        </w:rPr>
      </w:pPr>
      <w:r>
        <w:rPr>
          <w:rFonts w:ascii="Century Gothic" w:hAnsi="Century Gothic"/>
          <w:sz w:val="20"/>
          <w:szCs w:val="20"/>
        </w:rPr>
        <w:t>Following ERM’s response to submissions (RTS)</w:t>
      </w:r>
      <w:r w:rsidR="009A4FB0">
        <w:rPr>
          <w:rFonts w:ascii="Century Gothic" w:hAnsi="Century Gothic"/>
          <w:sz w:val="20"/>
          <w:szCs w:val="20"/>
        </w:rPr>
        <w:t xml:space="preserve">, state agencies have provided </w:t>
      </w:r>
      <w:r>
        <w:rPr>
          <w:rFonts w:ascii="Century Gothic" w:hAnsi="Century Gothic"/>
          <w:sz w:val="20"/>
          <w:szCs w:val="20"/>
        </w:rPr>
        <w:t xml:space="preserve">further correspondence, indicating whether their issues had been satisfactorily addressed. </w:t>
      </w:r>
      <w:r w:rsidR="009523C3">
        <w:rPr>
          <w:rFonts w:ascii="Century Gothic" w:hAnsi="Century Gothic"/>
          <w:sz w:val="20"/>
          <w:szCs w:val="20"/>
        </w:rPr>
        <w:t>I</w:t>
      </w:r>
      <w:r w:rsidR="00CC6A8A">
        <w:rPr>
          <w:rFonts w:ascii="Century Gothic" w:hAnsi="Century Gothic"/>
          <w:sz w:val="20"/>
          <w:szCs w:val="20"/>
        </w:rPr>
        <w:t>n</w:t>
      </w:r>
      <w:r w:rsidR="009523C3">
        <w:rPr>
          <w:rFonts w:ascii="Century Gothic" w:hAnsi="Century Gothic"/>
          <w:sz w:val="20"/>
          <w:szCs w:val="20"/>
        </w:rPr>
        <w:t xml:space="preserve"> their correspondence</w:t>
      </w:r>
      <w:r w:rsidR="009A4FB0">
        <w:rPr>
          <w:rFonts w:ascii="Century Gothic" w:hAnsi="Century Gothic"/>
          <w:sz w:val="20"/>
          <w:szCs w:val="20"/>
        </w:rPr>
        <w:t xml:space="preserve"> dated 16 February 2015</w:t>
      </w:r>
      <w:r w:rsidR="00527B7E">
        <w:rPr>
          <w:rFonts w:ascii="Century Gothic" w:hAnsi="Century Gothic"/>
          <w:sz w:val="20"/>
          <w:szCs w:val="20"/>
        </w:rPr>
        <w:t xml:space="preserve">, the EPA indicated it remained unwilling to grant general terms of approval for the proposed expansion, citing </w:t>
      </w:r>
      <w:r w:rsidR="009A4FB0">
        <w:rPr>
          <w:rFonts w:ascii="Century Gothic" w:hAnsi="Century Gothic"/>
          <w:sz w:val="20"/>
          <w:szCs w:val="20"/>
        </w:rPr>
        <w:t>concerns regarding water balance and discharge; and air quality issues in relation to hammermill operations, oxy cutting, speciation of dust, dust and odour and best practise.</w:t>
      </w:r>
      <w:r w:rsidR="00527B7E">
        <w:rPr>
          <w:rFonts w:ascii="Century Gothic" w:hAnsi="Century Gothic"/>
          <w:sz w:val="20"/>
          <w:szCs w:val="20"/>
        </w:rPr>
        <w:t xml:space="preserve"> </w:t>
      </w:r>
    </w:p>
    <w:p w14:paraId="55411FD5" w14:textId="227588CD" w:rsidR="006D6DED" w:rsidRDefault="00527B7E" w:rsidP="00E5462D">
      <w:pPr>
        <w:spacing w:before="120" w:after="240"/>
        <w:jc w:val="both"/>
        <w:rPr>
          <w:rFonts w:ascii="Century Gothic" w:hAnsi="Century Gothic"/>
          <w:sz w:val="20"/>
          <w:szCs w:val="20"/>
        </w:rPr>
      </w:pPr>
      <w:r>
        <w:rPr>
          <w:rFonts w:ascii="Century Gothic" w:hAnsi="Century Gothic"/>
          <w:sz w:val="20"/>
          <w:szCs w:val="20"/>
        </w:rPr>
        <w:t xml:space="preserve">Further, </w:t>
      </w:r>
      <w:r w:rsidR="009523C3">
        <w:rPr>
          <w:rFonts w:ascii="Century Gothic" w:hAnsi="Century Gothic"/>
          <w:sz w:val="20"/>
          <w:szCs w:val="20"/>
        </w:rPr>
        <w:t xml:space="preserve">the </w:t>
      </w:r>
      <w:r>
        <w:rPr>
          <w:rFonts w:ascii="Century Gothic" w:hAnsi="Century Gothic"/>
          <w:sz w:val="20"/>
          <w:szCs w:val="20"/>
        </w:rPr>
        <w:t>EPA remained of the view that additional information in relation to potential air and stormwater impacts had not been provided.</w:t>
      </w:r>
      <w:r w:rsidR="006D6DED">
        <w:rPr>
          <w:rFonts w:ascii="Century Gothic" w:hAnsi="Century Gothic"/>
          <w:sz w:val="20"/>
          <w:szCs w:val="20"/>
        </w:rPr>
        <w:t xml:space="preserve"> In a letter dated 24 February 2015, ERM provided a further response to the EPA, clarifying various aspects of technical reports. Despite this, in a letter dated 22 April 2015, the EPA reiterated its reasoning for refusing to grant general terms of approval for the proposed expansion. This letter can be found in </w:t>
      </w:r>
      <w:r w:rsidR="006D6DED">
        <w:rPr>
          <w:rFonts w:ascii="Century Gothic" w:hAnsi="Century Gothic"/>
          <w:b/>
          <w:sz w:val="20"/>
          <w:szCs w:val="20"/>
        </w:rPr>
        <w:t xml:space="preserve">Appendix </w:t>
      </w:r>
      <w:r w:rsidR="005257FD">
        <w:rPr>
          <w:rFonts w:ascii="Century Gothic" w:hAnsi="Century Gothic"/>
          <w:b/>
          <w:sz w:val="20"/>
          <w:szCs w:val="20"/>
        </w:rPr>
        <w:t>1</w:t>
      </w:r>
      <w:r w:rsidR="006D6DED">
        <w:rPr>
          <w:rFonts w:ascii="Century Gothic" w:hAnsi="Century Gothic"/>
          <w:sz w:val="20"/>
          <w:szCs w:val="20"/>
        </w:rPr>
        <w:t xml:space="preserve">. </w:t>
      </w:r>
      <w:r w:rsidR="0016123E">
        <w:rPr>
          <w:rFonts w:ascii="Century Gothic" w:hAnsi="Century Gothic"/>
          <w:sz w:val="20"/>
          <w:szCs w:val="20"/>
        </w:rPr>
        <w:t>In its correspondence, EPA summarised its position as follows</w:t>
      </w:r>
      <w:r w:rsidR="006D6DED">
        <w:rPr>
          <w:rFonts w:ascii="Century Gothic" w:hAnsi="Century Gothic"/>
          <w:sz w:val="20"/>
          <w:szCs w:val="20"/>
        </w:rPr>
        <w:t>:</w:t>
      </w:r>
    </w:p>
    <w:p w14:paraId="3E6F07EB" w14:textId="77777777" w:rsidR="0016123E" w:rsidRPr="0016123E" w:rsidRDefault="0016123E" w:rsidP="00E5462D">
      <w:pPr>
        <w:spacing w:before="120" w:after="120"/>
        <w:ind w:left="567" w:right="651"/>
        <w:jc w:val="both"/>
        <w:rPr>
          <w:rFonts w:ascii="Century Gothic" w:hAnsi="Century Gothic"/>
          <w:i/>
          <w:sz w:val="20"/>
          <w:szCs w:val="20"/>
        </w:rPr>
      </w:pPr>
      <w:r w:rsidRPr="0016123E">
        <w:rPr>
          <w:rFonts w:ascii="Century Gothic" w:hAnsi="Century Gothic"/>
          <w:i/>
          <w:sz w:val="20"/>
          <w:szCs w:val="20"/>
        </w:rPr>
        <w:t>“</w:t>
      </w:r>
      <w:r w:rsidR="008845B1" w:rsidRPr="0016123E">
        <w:rPr>
          <w:rFonts w:ascii="Century Gothic" w:hAnsi="Century Gothic"/>
          <w:i/>
          <w:sz w:val="20"/>
          <w:szCs w:val="20"/>
        </w:rPr>
        <w:t xml:space="preserve">The </w:t>
      </w:r>
      <w:r w:rsidRPr="0016123E">
        <w:rPr>
          <w:rFonts w:ascii="Century Gothic" w:hAnsi="Century Gothic"/>
          <w:i/>
          <w:sz w:val="20"/>
          <w:szCs w:val="20"/>
        </w:rPr>
        <w:t xml:space="preserve">EPA is of the clear position that the </w:t>
      </w:r>
      <w:r w:rsidR="008845B1" w:rsidRPr="0016123E">
        <w:rPr>
          <w:rFonts w:ascii="Century Gothic" w:hAnsi="Century Gothic"/>
          <w:i/>
          <w:sz w:val="20"/>
          <w:szCs w:val="20"/>
        </w:rPr>
        <w:t xml:space="preserve">hammermill at the premises is currently not operating in an environmentally satisfactory manner and improvements are required to prevent ongoing pollution incidents </w:t>
      </w:r>
      <w:r w:rsidR="008845B1" w:rsidRPr="0016123E">
        <w:rPr>
          <w:rFonts w:ascii="Century Gothic" w:hAnsi="Century Gothic"/>
          <w:i/>
          <w:sz w:val="20"/>
          <w:szCs w:val="20"/>
        </w:rPr>
        <w:lastRenderedPageBreak/>
        <w:t>occurring at the current scale of processing</w:t>
      </w:r>
      <w:r>
        <w:rPr>
          <w:rFonts w:ascii="Century Gothic" w:hAnsi="Century Gothic"/>
          <w:i/>
          <w:sz w:val="20"/>
          <w:szCs w:val="20"/>
        </w:rPr>
        <w:t>. As a result</w:t>
      </w:r>
      <w:r w:rsidR="008845B1" w:rsidRPr="0016123E">
        <w:rPr>
          <w:rFonts w:ascii="Century Gothic" w:hAnsi="Century Gothic"/>
          <w:i/>
          <w:sz w:val="20"/>
          <w:szCs w:val="20"/>
        </w:rPr>
        <w:t xml:space="preserve">, the EPA </w:t>
      </w:r>
      <w:r w:rsidRPr="0016123E">
        <w:rPr>
          <w:rFonts w:ascii="Century Gothic" w:hAnsi="Century Gothic"/>
          <w:i/>
          <w:sz w:val="20"/>
          <w:szCs w:val="20"/>
        </w:rPr>
        <w:t>cannot support the proposed increase</w:t>
      </w:r>
      <w:r>
        <w:rPr>
          <w:rFonts w:ascii="Century Gothic" w:hAnsi="Century Gothic"/>
          <w:i/>
          <w:sz w:val="20"/>
          <w:szCs w:val="20"/>
        </w:rPr>
        <w:t xml:space="preserve"> in processing</w:t>
      </w:r>
      <w:r w:rsidRPr="0016123E">
        <w:rPr>
          <w:rFonts w:ascii="Century Gothic" w:hAnsi="Century Gothic"/>
          <w:i/>
          <w:sz w:val="20"/>
          <w:szCs w:val="20"/>
        </w:rPr>
        <w:t xml:space="preserve"> unless and until there is a clear, timely and legally enforceable proposal to address these environmental impacts</w:t>
      </w:r>
      <w:r>
        <w:rPr>
          <w:rFonts w:ascii="Century Gothic" w:hAnsi="Century Gothic"/>
          <w:i/>
          <w:sz w:val="20"/>
          <w:szCs w:val="20"/>
        </w:rPr>
        <w:t>.</w:t>
      </w:r>
    </w:p>
    <w:p w14:paraId="448F9E88" w14:textId="77777777" w:rsidR="0016123E" w:rsidRDefault="0016123E" w:rsidP="00E5462D">
      <w:pPr>
        <w:spacing w:before="120" w:after="120"/>
        <w:ind w:left="567" w:right="651"/>
        <w:jc w:val="both"/>
        <w:rPr>
          <w:rFonts w:ascii="Century Gothic" w:hAnsi="Century Gothic"/>
          <w:i/>
          <w:sz w:val="20"/>
          <w:szCs w:val="20"/>
        </w:rPr>
      </w:pPr>
      <w:r w:rsidRPr="0016123E">
        <w:rPr>
          <w:rFonts w:ascii="Century Gothic" w:hAnsi="Century Gothic"/>
          <w:i/>
          <w:sz w:val="20"/>
          <w:szCs w:val="20"/>
        </w:rPr>
        <w:t xml:space="preserve">The proposed development will increase the amount of material being processed per annum by 389%, </w:t>
      </w:r>
      <w:r w:rsidR="00C23897">
        <w:rPr>
          <w:rFonts w:ascii="Century Gothic" w:hAnsi="Century Gothic"/>
          <w:i/>
          <w:sz w:val="20"/>
          <w:szCs w:val="20"/>
        </w:rPr>
        <w:t xml:space="preserve">with an increased rate of processing and an increase of hours of operation, however, there are no improvements to the air polluting processes, being primarily the hammermill and the oxy-cutting, have </w:t>
      </w:r>
      <w:r w:rsidR="00C23897">
        <w:rPr>
          <w:rFonts w:ascii="Century Gothic" w:hAnsi="Century Gothic"/>
          <w:sz w:val="20"/>
          <w:szCs w:val="20"/>
        </w:rPr>
        <w:t xml:space="preserve">[sic] </w:t>
      </w:r>
      <w:r w:rsidR="00C23897">
        <w:rPr>
          <w:rFonts w:ascii="Century Gothic" w:hAnsi="Century Gothic"/>
          <w:i/>
          <w:sz w:val="20"/>
          <w:szCs w:val="20"/>
        </w:rPr>
        <w:t>been proposed.</w:t>
      </w:r>
    </w:p>
    <w:p w14:paraId="54C1B147" w14:textId="77777777" w:rsidR="00C23897" w:rsidRDefault="00C23897" w:rsidP="00E5462D">
      <w:pPr>
        <w:spacing w:before="120" w:after="120"/>
        <w:ind w:left="567" w:right="651"/>
        <w:jc w:val="both"/>
        <w:rPr>
          <w:rFonts w:ascii="Century Gothic" w:hAnsi="Century Gothic"/>
          <w:i/>
          <w:sz w:val="20"/>
          <w:szCs w:val="20"/>
        </w:rPr>
      </w:pPr>
      <w:r>
        <w:rPr>
          <w:rFonts w:ascii="Century Gothic" w:hAnsi="Century Gothic"/>
          <w:i/>
          <w:sz w:val="20"/>
          <w:szCs w:val="20"/>
        </w:rPr>
        <w:t>Further, Sell &amp; Parker have advised the EPA that the proposed development will breach air quality guidelines, and this means that the proposal will have impacts on the local community.</w:t>
      </w:r>
    </w:p>
    <w:p w14:paraId="25BAE3E2" w14:textId="77777777" w:rsidR="00E5462D" w:rsidRDefault="00C23897" w:rsidP="00E5462D">
      <w:pPr>
        <w:spacing w:before="120" w:after="240"/>
        <w:ind w:left="567" w:right="652"/>
        <w:jc w:val="both"/>
        <w:rPr>
          <w:rFonts w:ascii="Century Gothic" w:hAnsi="Century Gothic"/>
          <w:i/>
          <w:sz w:val="20"/>
          <w:szCs w:val="20"/>
        </w:rPr>
      </w:pPr>
      <w:r>
        <w:rPr>
          <w:rFonts w:ascii="Century Gothic" w:hAnsi="Century Gothic"/>
          <w:i/>
          <w:sz w:val="20"/>
          <w:szCs w:val="20"/>
        </w:rPr>
        <w:t>Sell &amp; Parker have outlined a wide range of toxic water contaminants that may enter the stormwater system from the site activities but have failed to adequately characterise them or describe how the impacted water will be treated to mitigate the risk of those contaminants.”</w:t>
      </w:r>
    </w:p>
    <w:p w14:paraId="0DC52EF2" w14:textId="545843BB" w:rsidR="00C23897" w:rsidRPr="00C23897" w:rsidRDefault="00C23897" w:rsidP="00E5462D">
      <w:pPr>
        <w:tabs>
          <w:tab w:val="left" w:pos="8222"/>
        </w:tabs>
        <w:spacing w:before="120" w:after="120"/>
        <w:ind w:right="78"/>
        <w:jc w:val="both"/>
        <w:rPr>
          <w:rFonts w:ascii="Century Gothic" w:hAnsi="Century Gothic"/>
          <w:sz w:val="20"/>
          <w:szCs w:val="20"/>
        </w:rPr>
      </w:pPr>
      <w:r>
        <w:rPr>
          <w:rFonts w:ascii="Century Gothic" w:hAnsi="Century Gothic"/>
          <w:sz w:val="20"/>
          <w:szCs w:val="20"/>
        </w:rPr>
        <w:t xml:space="preserve">Discussions have taken place with EPA to address the ongoing concerns raised above, including a meeting </w:t>
      </w:r>
      <w:r w:rsidRPr="00C8781C">
        <w:rPr>
          <w:rFonts w:ascii="Century Gothic" w:hAnsi="Century Gothic"/>
          <w:sz w:val="20"/>
          <w:szCs w:val="20"/>
        </w:rPr>
        <w:t xml:space="preserve">on </w:t>
      </w:r>
      <w:r w:rsidR="00CB07F8" w:rsidRPr="00C8781C">
        <w:rPr>
          <w:rFonts w:ascii="Century Gothic" w:hAnsi="Century Gothic"/>
          <w:sz w:val="20"/>
          <w:szCs w:val="20"/>
        </w:rPr>
        <w:t xml:space="preserve">18 May 2015, </w:t>
      </w:r>
      <w:r w:rsidR="009523C3" w:rsidRPr="00C8781C">
        <w:rPr>
          <w:rFonts w:ascii="Century Gothic" w:hAnsi="Century Gothic"/>
          <w:sz w:val="20"/>
          <w:szCs w:val="20"/>
        </w:rPr>
        <w:t xml:space="preserve">which was also </w:t>
      </w:r>
      <w:r w:rsidR="00CB07F8" w:rsidRPr="00C8781C">
        <w:rPr>
          <w:rFonts w:ascii="Century Gothic" w:hAnsi="Century Gothic"/>
          <w:sz w:val="20"/>
          <w:szCs w:val="20"/>
        </w:rPr>
        <w:t xml:space="preserve">attended by representatives of the DP&amp;E </w:t>
      </w:r>
      <w:r w:rsidR="009523C3" w:rsidRPr="00C8781C">
        <w:rPr>
          <w:rFonts w:ascii="Century Gothic" w:hAnsi="Century Gothic"/>
          <w:sz w:val="20"/>
          <w:szCs w:val="20"/>
        </w:rPr>
        <w:t>(as well as the</w:t>
      </w:r>
      <w:r w:rsidR="00CB07F8" w:rsidRPr="00C8781C">
        <w:rPr>
          <w:rFonts w:ascii="Century Gothic" w:hAnsi="Century Gothic"/>
          <w:sz w:val="20"/>
          <w:szCs w:val="20"/>
        </w:rPr>
        <w:t xml:space="preserve"> EPA</w:t>
      </w:r>
      <w:r w:rsidR="009523C3" w:rsidRPr="00C8781C">
        <w:rPr>
          <w:rFonts w:ascii="Century Gothic" w:hAnsi="Century Gothic"/>
          <w:sz w:val="20"/>
          <w:szCs w:val="20"/>
        </w:rPr>
        <w:t>)</w:t>
      </w:r>
      <w:r w:rsidRPr="00C8781C">
        <w:rPr>
          <w:rFonts w:ascii="Century Gothic" w:hAnsi="Century Gothic"/>
          <w:sz w:val="20"/>
          <w:szCs w:val="20"/>
        </w:rPr>
        <w:t xml:space="preserve">. As a result of these discussions, the proposed changes to the project </w:t>
      </w:r>
      <w:r w:rsidR="009523C3" w:rsidRPr="00C8781C">
        <w:rPr>
          <w:rFonts w:ascii="Century Gothic" w:hAnsi="Century Gothic"/>
          <w:sz w:val="20"/>
          <w:szCs w:val="20"/>
        </w:rPr>
        <w:t>and environmental</w:t>
      </w:r>
      <w:r w:rsidR="009523C3">
        <w:rPr>
          <w:rFonts w:ascii="Century Gothic" w:hAnsi="Century Gothic"/>
          <w:sz w:val="20"/>
          <w:szCs w:val="20"/>
        </w:rPr>
        <w:t xml:space="preserve"> mitigation measures </w:t>
      </w:r>
      <w:r>
        <w:rPr>
          <w:rFonts w:ascii="Century Gothic" w:hAnsi="Century Gothic"/>
          <w:sz w:val="20"/>
          <w:szCs w:val="20"/>
        </w:rPr>
        <w:t>herein described</w:t>
      </w:r>
      <w:r w:rsidR="009523C3">
        <w:rPr>
          <w:rFonts w:ascii="Century Gothic" w:hAnsi="Century Gothic"/>
          <w:sz w:val="20"/>
          <w:szCs w:val="20"/>
        </w:rPr>
        <w:t>,</w:t>
      </w:r>
      <w:r>
        <w:rPr>
          <w:rFonts w:ascii="Century Gothic" w:hAnsi="Century Gothic"/>
          <w:sz w:val="20"/>
          <w:szCs w:val="20"/>
        </w:rPr>
        <w:t xml:space="preserve"> are considered to satisfactorily a</w:t>
      </w:r>
      <w:r w:rsidR="00CB07F8">
        <w:rPr>
          <w:rFonts w:ascii="Century Gothic" w:hAnsi="Century Gothic"/>
          <w:sz w:val="20"/>
          <w:szCs w:val="20"/>
        </w:rPr>
        <w:t xml:space="preserve">ddress the outstanding matters. </w:t>
      </w:r>
    </w:p>
    <w:p w14:paraId="60A6A539" w14:textId="77777777" w:rsidR="00F16F55" w:rsidRPr="00D94F6D" w:rsidRDefault="006D6DED" w:rsidP="00D94F6D">
      <w:pPr>
        <w:spacing w:before="120" w:after="120"/>
        <w:rPr>
          <w:rFonts w:ascii="Century Gothic" w:hAnsi="Century Gothic"/>
          <w:b/>
          <w:sz w:val="20"/>
          <w:szCs w:val="20"/>
        </w:rPr>
      </w:pPr>
      <w:r>
        <w:rPr>
          <w:rFonts w:ascii="Century Gothic" w:hAnsi="Century Gothic"/>
          <w:sz w:val="20"/>
          <w:szCs w:val="20"/>
        </w:rPr>
        <w:t xml:space="preserve"> </w:t>
      </w:r>
    </w:p>
    <w:p w14:paraId="741D5518" w14:textId="0902BB19" w:rsidR="004D41DE" w:rsidRDefault="004D41DE" w:rsidP="00C23897">
      <w:pPr>
        <w:pStyle w:val="ListParagraph"/>
        <w:numPr>
          <w:ilvl w:val="0"/>
          <w:numId w:val="3"/>
        </w:numPr>
        <w:spacing w:before="120" w:after="120"/>
        <w:contextualSpacing w:val="0"/>
        <w:jc w:val="both"/>
        <w:rPr>
          <w:rFonts w:ascii="Century Gothic" w:hAnsi="Century Gothic"/>
          <w:b/>
          <w:sz w:val="28"/>
          <w:szCs w:val="28"/>
        </w:rPr>
      </w:pPr>
      <w:r w:rsidRPr="00C23897">
        <w:rPr>
          <w:rFonts w:ascii="Century Gothic" w:hAnsi="Century Gothic"/>
          <w:b/>
          <w:sz w:val="28"/>
          <w:szCs w:val="28"/>
        </w:rPr>
        <w:t xml:space="preserve">Key Changes to </w:t>
      </w:r>
      <w:r w:rsidR="009523C3">
        <w:rPr>
          <w:rFonts w:ascii="Century Gothic" w:hAnsi="Century Gothic"/>
          <w:b/>
          <w:sz w:val="28"/>
          <w:szCs w:val="28"/>
        </w:rPr>
        <w:t xml:space="preserve">the Project and Environmental Mitigation Measures </w:t>
      </w:r>
      <w:r w:rsidRPr="00C23897">
        <w:rPr>
          <w:rFonts w:ascii="Century Gothic" w:hAnsi="Century Gothic"/>
          <w:b/>
          <w:sz w:val="28"/>
          <w:szCs w:val="28"/>
        </w:rPr>
        <w:t xml:space="preserve"> </w:t>
      </w:r>
    </w:p>
    <w:p w14:paraId="24566E4F" w14:textId="03B01764" w:rsidR="00C238F8" w:rsidRDefault="00C238F8" w:rsidP="00C238F8">
      <w:pPr>
        <w:spacing w:before="120" w:after="120"/>
        <w:rPr>
          <w:rFonts w:ascii="Century Gothic" w:hAnsi="Century Gothic"/>
          <w:sz w:val="20"/>
          <w:szCs w:val="20"/>
        </w:rPr>
      </w:pPr>
      <w:r>
        <w:rPr>
          <w:rFonts w:ascii="Century Gothic" w:hAnsi="Century Gothic"/>
          <w:sz w:val="20"/>
          <w:szCs w:val="20"/>
        </w:rPr>
        <w:t xml:space="preserve">In response to the concerns raised by the EPA, Sell &amp; Parker have commissioned </w:t>
      </w:r>
      <w:r w:rsidR="00407755">
        <w:rPr>
          <w:rFonts w:ascii="Century Gothic" w:hAnsi="Century Gothic"/>
          <w:sz w:val="20"/>
          <w:szCs w:val="20"/>
        </w:rPr>
        <w:t>various specialist environmental consultants</w:t>
      </w:r>
      <w:r>
        <w:rPr>
          <w:rFonts w:ascii="Century Gothic" w:hAnsi="Century Gothic"/>
          <w:sz w:val="20"/>
          <w:szCs w:val="20"/>
        </w:rPr>
        <w:t xml:space="preserve"> to prepare the following supplementary reports, which identify and assess the </w:t>
      </w:r>
      <w:r w:rsidR="009523C3">
        <w:rPr>
          <w:rFonts w:ascii="Century Gothic" w:hAnsi="Century Gothic"/>
          <w:sz w:val="20"/>
          <w:szCs w:val="20"/>
        </w:rPr>
        <w:t>amendments and revised mitigation measures</w:t>
      </w:r>
      <w:r>
        <w:rPr>
          <w:rFonts w:ascii="Century Gothic" w:hAnsi="Century Gothic"/>
          <w:sz w:val="20"/>
          <w:szCs w:val="20"/>
        </w:rPr>
        <w:t xml:space="preserve"> to the project:</w:t>
      </w:r>
    </w:p>
    <w:p w14:paraId="22D29874" w14:textId="77777777" w:rsidR="00A82250" w:rsidRDefault="00C238F8" w:rsidP="00A82250">
      <w:pPr>
        <w:pStyle w:val="StyleBodyTextUnivers55Left"/>
        <w:numPr>
          <w:ilvl w:val="0"/>
          <w:numId w:val="4"/>
        </w:numPr>
        <w:spacing w:before="120" w:after="120"/>
        <w:jc w:val="both"/>
        <w:rPr>
          <w:rFonts w:ascii="Century Gothic" w:hAnsi="Century Gothic"/>
        </w:rPr>
      </w:pPr>
      <w:r w:rsidRPr="00A82250">
        <w:rPr>
          <w:rFonts w:ascii="Century Gothic" w:hAnsi="Century Gothic"/>
        </w:rPr>
        <w:t xml:space="preserve">Stormwater Management Plan (SWMP) – </w:t>
      </w:r>
      <w:r w:rsidRPr="00A82250">
        <w:rPr>
          <w:rFonts w:ascii="Century Gothic" w:hAnsi="Century Gothic"/>
          <w:b/>
        </w:rPr>
        <w:t xml:space="preserve">Appendix </w:t>
      </w:r>
      <w:r w:rsidR="00A94768">
        <w:rPr>
          <w:rFonts w:ascii="Century Gothic" w:hAnsi="Century Gothic"/>
          <w:b/>
        </w:rPr>
        <w:t>2</w:t>
      </w:r>
      <w:r w:rsidRPr="00A82250">
        <w:rPr>
          <w:rFonts w:ascii="Century Gothic" w:hAnsi="Century Gothic"/>
        </w:rPr>
        <w:t>;</w:t>
      </w:r>
    </w:p>
    <w:p w14:paraId="042F661F" w14:textId="08A7C228" w:rsidR="00A82250" w:rsidRDefault="00C238F8" w:rsidP="00A82250">
      <w:pPr>
        <w:pStyle w:val="StyleBodyTextUnivers55Left"/>
        <w:numPr>
          <w:ilvl w:val="0"/>
          <w:numId w:val="4"/>
        </w:numPr>
        <w:spacing w:before="120" w:after="120"/>
        <w:jc w:val="both"/>
        <w:rPr>
          <w:rFonts w:ascii="Century Gothic" w:hAnsi="Century Gothic"/>
        </w:rPr>
      </w:pPr>
      <w:r w:rsidRPr="00A82250">
        <w:rPr>
          <w:rFonts w:ascii="Century Gothic" w:hAnsi="Century Gothic"/>
        </w:rPr>
        <w:t xml:space="preserve">Air Quality Assessment – </w:t>
      </w:r>
      <w:r w:rsidRPr="00A82250">
        <w:rPr>
          <w:rFonts w:ascii="Century Gothic" w:hAnsi="Century Gothic"/>
          <w:b/>
        </w:rPr>
        <w:t xml:space="preserve">Appendix </w:t>
      </w:r>
      <w:r w:rsidR="00A94768">
        <w:rPr>
          <w:rFonts w:ascii="Century Gothic" w:hAnsi="Century Gothic"/>
          <w:b/>
        </w:rPr>
        <w:t>3</w:t>
      </w:r>
      <w:r w:rsidRPr="00A82250">
        <w:rPr>
          <w:rFonts w:ascii="Century Gothic" w:hAnsi="Century Gothic"/>
        </w:rPr>
        <w:t>;</w:t>
      </w:r>
      <w:r w:rsidR="00CC6A8A">
        <w:rPr>
          <w:rFonts w:ascii="Century Gothic" w:hAnsi="Century Gothic"/>
        </w:rPr>
        <w:t xml:space="preserve"> and</w:t>
      </w:r>
    </w:p>
    <w:p w14:paraId="296D6DC8" w14:textId="199FCCA3" w:rsidR="00A82250" w:rsidRDefault="00C238F8" w:rsidP="00A82250">
      <w:pPr>
        <w:pStyle w:val="StyleBodyTextUnivers55Left"/>
        <w:numPr>
          <w:ilvl w:val="0"/>
          <w:numId w:val="4"/>
        </w:numPr>
        <w:spacing w:before="120" w:after="120"/>
        <w:jc w:val="both"/>
        <w:rPr>
          <w:rFonts w:ascii="Century Gothic" w:hAnsi="Century Gothic"/>
        </w:rPr>
      </w:pPr>
      <w:r w:rsidRPr="00A82250">
        <w:rPr>
          <w:rFonts w:ascii="Century Gothic" w:hAnsi="Century Gothic"/>
        </w:rPr>
        <w:t xml:space="preserve">Health Risk Assessment – </w:t>
      </w:r>
      <w:r w:rsidRPr="00A82250">
        <w:rPr>
          <w:rFonts w:ascii="Century Gothic" w:hAnsi="Century Gothic"/>
          <w:b/>
        </w:rPr>
        <w:t xml:space="preserve">Appendix </w:t>
      </w:r>
      <w:r w:rsidR="00A94768">
        <w:rPr>
          <w:rFonts w:ascii="Century Gothic" w:hAnsi="Century Gothic"/>
          <w:b/>
        </w:rPr>
        <w:t>4</w:t>
      </w:r>
      <w:r w:rsidR="00CC6A8A">
        <w:rPr>
          <w:rFonts w:ascii="Century Gothic" w:hAnsi="Century Gothic"/>
        </w:rPr>
        <w:t>.</w:t>
      </w:r>
    </w:p>
    <w:p w14:paraId="7771A1FD" w14:textId="77777777" w:rsidR="00C238F8" w:rsidRDefault="00C238F8" w:rsidP="00C238F8">
      <w:pPr>
        <w:spacing w:before="120" w:after="120"/>
        <w:rPr>
          <w:rFonts w:ascii="Century Gothic" w:hAnsi="Century Gothic"/>
          <w:sz w:val="20"/>
          <w:szCs w:val="20"/>
        </w:rPr>
      </w:pPr>
      <w:r>
        <w:rPr>
          <w:rFonts w:ascii="Century Gothic" w:hAnsi="Century Gothic"/>
          <w:sz w:val="20"/>
          <w:szCs w:val="20"/>
        </w:rPr>
        <w:t xml:space="preserve">A summary of the amended and/or supplementary reports, along with the key changes proposed is provided </w:t>
      </w:r>
      <w:r w:rsidR="00A82250">
        <w:rPr>
          <w:rFonts w:ascii="Century Gothic" w:hAnsi="Century Gothic"/>
          <w:sz w:val="20"/>
          <w:szCs w:val="20"/>
        </w:rPr>
        <w:t>below.</w:t>
      </w:r>
    </w:p>
    <w:p w14:paraId="5D60585A" w14:textId="77777777" w:rsidR="00A82250" w:rsidRDefault="00A82250" w:rsidP="00C238F8">
      <w:pPr>
        <w:spacing w:before="120" w:after="120"/>
        <w:rPr>
          <w:rFonts w:ascii="Century Gothic" w:hAnsi="Century Gothic"/>
          <w:sz w:val="20"/>
          <w:szCs w:val="20"/>
        </w:rPr>
      </w:pPr>
    </w:p>
    <w:p w14:paraId="4C901EEA" w14:textId="51BE17D8" w:rsidR="00795D7C" w:rsidRPr="006F13C9" w:rsidRDefault="00795D7C" w:rsidP="00795D7C">
      <w:pPr>
        <w:pStyle w:val="ListParagraph"/>
        <w:numPr>
          <w:ilvl w:val="1"/>
          <w:numId w:val="3"/>
        </w:numPr>
        <w:spacing w:before="120" w:after="120"/>
        <w:ind w:left="709" w:hanging="709"/>
        <w:contextualSpacing w:val="0"/>
        <w:jc w:val="both"/>
        <w:rPr>
          <w:rFonts w:ascii="Century Gothic" w:hAnsi="Century Gothic"/>
          <w:b/>
          <w:szCs w:val="28"/>
        </w:rPr>
      </w:pPr>
      <w:r w:rsidRPr="006F13C9">
        <w:rPr>
          <w:rFonts w:ascii="Century Gothic" w:hAnsi="Century Gothic"/>
          <w:b/>
          <w:szCs w:val="28"/>
        </w:rPr>
        <w:t>Stormwater Management</w:t>
      </w:r>
    </w:p>
    <w:p w14:paraId="4FFED185" w14:textId="77777777" w:rsidR="00795D7C" w:rsidRPr="006F13C9" w:rsidRDefault="00795D7C" w:rsidP="00795D7C">
      <w:pPr>
        <w:spacing w:before="120" w:after="120"/>
        <w:jc w:val="both"/>
        <w:rPr>
          <w:rFonts w:ascii="Century Gothic" w:hAnsi="Century Gothic"/>
          <w:i/>
          <w:sz w:val="22"/>
          <w:szCs w:val="28"/>
        </w:rPr>
      </w:pPr>
      <w:r w:rsidRPr="006F13C9">
        <w:rPr>
          <w:rFonts w:ascii="Century Gothic" w:hAnsi="Century Gothic"/>
          <w:i/>
          <w:sz w:val="22"/>
          <w:szCs w:val="28"/>
        </w:rPr>
        <w:t>Changes to processes on site</w:t>
      </w:r>
    </w:p>
    <w:p w14:paraId="7DB8C556"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 xml:space="preserve">The concept drainage and stormwater management plan for the site is shown in Figure 3 of Annex A to the SWMP, which can be found in </w:t>
      </w:r>
      <w:r>
        <w:rPr>
          <w:rFonts w:ascii="Century Gothic" w:hAnsi="Century Gothic"/>
          <w:b/>
          <w:sz w:val="20"/>
          <w:szCs w:val="20"/>
        </w:rPr>
        <w:t>Appendix 2</w:t>
      </w:r>
      <w:r>
        <w:rPr>
          <w:rFonts w:ascii="Century Gothic" w:hAnsi="Century Gothic"/>
          <w:sz w:val="20"/>
          <w:szCs w:val="20"/>
        </w:rPr>
        <w:t xml:space="preserve"> of this letter. The Plan sets out the key management processes and infrastructure improvements to the site, which will provide a modern, best practice stormwater management system for the facility.</w:t>
      </w:r>
    </w:p>
    <w:p w14:paraId="34777545"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Of particular relevance to this letter, the stormwater plan has been developed to achieve the following objectives:</w:t>
      </w:r>
    </w:p>
    <w:p w14:paraId="65DAA9D0" w14:textId="77777777" w:rsidR="00795D7C" w:rsidRPr="00C608DA" w:rsidRDefault="00795D7C" w:rsidP="00795D7C">
      <w:pPr>
        <w:pStyle w:val="StyleBodyTextUnivers55Left"/>
        <w:numPr>
          <w:ilvl w:val="0"/>
          <w:numId w:val="32"/>
        </w:numPr>
        <w:spacing w:before="120" w:after="120"/>
        <w:jc w:val="both"/>
        <w:rPr>
          <w:rFonts w:ascii="Century Gothic" w:hAnsi="Century Gothic"/>
        </w:rPr>
      </w:pPr>
      <w:r w:rsidRPr="00C608DA">
        <w:rPr>
          <w:rFonts w:ascii="Century Gothic" w:hAnsi="Century Gothic"/>
        </w:rPr>
        <w:t>Provide for a system that aims to maintain regulatory compliance under a</w:t>
      </w:r>
      <w:r>
        <w:rPr>
          <w:rFonts w:ascii="Century Gothic" w:hAnsi="Century Gothic"/>
        </w:rPr>
        <w:t xml:space="preserve"> </w:t>
      </w:r>
      <w:r w:rsidRPr="00C608DA">
        <w:rPr>
          <w:rFonts w:ascii="Century Gothic" w:hAnsi="Century Gothic"/>
        </w:rPr>
        <w:t>predictable range of weather and operational conditions;</w:t>
      </w:r>
    </w:p>
    <w:p w14:paraId="10B170EC" w14:textId="77777777" w:rsidR="00795D7C" w:rsidRPr="00C608DA" w:rsidRDefault="00795D7C" w:rsidP="00795D7C">
      <w:pPr>
        <w:pStyle w:val="StyleBodyTextUnivers55Left"/>
        <w:numPr>
          <w:ilvl w:val="0"/>
          <w:numId w:val="32"/>
        </w:numPr>
        <w:spacing w:before="120" w:after="120"/>
        <w:jc w:val="both"/>
        <w:rPr>
          <w:rFonts w:ascii="Century Gothic" w:hAnsi="Century Gothic"/>
        </w:rPr>
      </w:pPr>
      <w:r w:rsidRPr="00C608DA">
        <w:rPr>
          <w:rFonts w:ascii="Century Gothic" w:hAnsi="Century Gothic"/>
        </w:rPr>
        <w:t>Include provision for sustainable re-use of water to the extent practicable;</w:t>
      </w:r>
    </w:p>
    <w:p w14:paraId="0245D7D8" w14:textId="77777777" w:rsidR="00795D7C" w:rsidRPr="00C608DA" w:rsidRDefault="00795D7C" w:rsidP="00795D7C">
      <w:pPr>
        <w:pStyle w:val="StyleBodyTextUnivers55Left"/>
        <w:numPr>
          <w:ilvl w:val="0"/>
          <w:numId w:val="32"/>
        </w:numPr>
        <w:spacing w:before="120" w:after="120"/>
        <w:jc w:val="both"/>
        <w:rPr>
          <w:rFonts w:ascii="Century Gothic" w:hAnsi="Century Gothic"/>
        </w:rPr>
      </w:pPr>
      <w:r w:rsidRPr="00C608DA">
        <w:rPr>
          <w:rFonts w:ascii="Century Gothic" w:hAnsi="Century Gothic"/>
        </w:rPr>
        <w:lastRenderedPageBreak/>
        <w:t>Provide for appropriate retention and treatment of contaminated</w:t>
      </w:r>
      <w:r>
        <w:rPr>
          <w:rFonts w:ascii="Century Gothic" w:hAnsi="Century Gothic"/>
        </w:rPr>
        <w:t xml:space="preserve"> </w:t>
      </w:r>
      <w:r w:rsidRPr="00C608DA">
        <w:rPr>
          <w:rFonts w:ascii="Century Gothic" w:hAnsi="Century Gothic"/>
        </w:rPr>
        <w:t>stormwater suitable for controlled release to Breakfast Creek;</w:t>
      </w:r>
    </w:p>
    <w:p w14:paraId="4C761F3B" w14:textId="77777777" w:rsidR="00795D7C" w:rsidRPr="00C608DA" w:rsidRDefault="00795D7C" w:rsidP="00795D7C">
      <w:pPr>
        <w:pStyle w:val="StyleBodyTextUnivers55Left"/>
        <w:numPr>
          <w:ilvl w:val="0"/>
          <w:numId w:val="32"/>
        </w:numPr>
        <w:spacing w:before="120" w:after="120"/>
        <w:jc w:val="both"/>
        <w:rPr>
          <w:rFonts w:ascii="Century Gothic" w:hAnsi="Century Gothic"/>
        </w:rPr>
      </w:pPr>
      <w:r w:rsidRPr="00C608DA">
        <w:rPr>
          <w:rFonts w:ascii="Century Gothic" w:hAnsi="Century Gothic"/>
        </w:rPr>
        <w:t>Minimise the amount of water requiring treatment by separation of “clean”</w:t>
      </w:r>
      <w:r>
        <w:rPr>
          <w:rFonts w:ascii="Century Gothic" w:hAnsi="Century Gothic"/>
        </w:rPr>
        <w:t xml:space="preserve"> </w:t>
      </w:r>
      <w:r w:rsidRPr="00C608DA">
        <w:rPr>
          <w:rFonts w:ascii="Century Gothic" w:hAnsi="Century Gothic"/>
        </w:rPr>
        <w:t>and “dirty” catchments with separate routing and discharge;</w:t>
      </w:r>
      <w:r>
        <w:rPr>
          <w:rFonts w:ascii="Century Gothic" w:hAnsi="Century Gothic"/>
        </w:rPr>
        <w:t xml:space="preserve"> and</w:t>
      </w:r>
    </w:p>
    <w:p w14:paraId="6A990941" w14:textId="77777777" w:rsidR="00795D7C" w:rsidRPr="00C608DA" w:rsidRDefault="00795D7C" w:rsidP="00795D7C">
      <w:pPr>
        <w:pStyle w:val="StyleBodyTextUnivers55Left"/>
        <w:numPr>
          <w:ilvl w:val="0"/>
          <w:numId w:val="32"/>
        </w:numPr>
        <w:spacing w:before="120" w:after="120"/>
        <w:jc w:val="both"/>
        <w:rPr>
          <w:rFonts w:ascii="Century Gothic" w:hAnsi="Century Gothic"/>
        </w:rPr>
      </w:pPr>
      <w:r w:rsidRPr="00C608DA">
        <w:rPr>
          <w:rFonts w:ascii="Century Gothic" w:hAnsi="Century Gothic"/>
        </w:rPr>
        <w:t>Minimise inputs of pollutants to ‘dirty’ stormwater by improved</w:t>
      </w:r>
      <w:r>
        <w:rPr>
          <w:rFonts w:ascii="Century Gothic" w:hAnsi="Century Gothic"/>
        </w:rPr>
        <w:t xml:space="preserve"> </w:t>
      </w:r>
      <w:r w:rsidRPr="00C608DA">
        <w:rPr>
          <w:rFonts w:ascii="Century Gothic" w:hAnsi="Century Gothic"/>
        </w:rPr>
        <w:t>containment and management of potentially contaminating activities.</w:t>
      </w:r>
    </w:p>
    <w:p w14:paraId="0C04E5E6"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A number of new systems and processes are proposed to achieve these objectives. This includes modifying existing building roof drainage to allow drainage of all clean areas to stormwater drains along Tattersall Road, or into Breakfast Creek via dedicated underground drains. Roof water is proposed to be directed first to rainwater storage tanks, with overflow to stormwater drainage once full.</w:t>
      </w:r>
    </w:p>
    <w:p w14:paraId="32F44F85"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All other areas (excluding the access road and car park, which are part of the clean area) is to be classed as “dirty” water, and will drain via dish and grated drains through the new treatment and retention system. This will include wheel wash water from the wheel wash.</w:t>
      </w:r>
    </w:p>
    <w:p w14:paraId="619B662C"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“Contained areas” are designated areas on the site that have the potential to generate highly contaminated liquids, and includes areas such as the oil drainage pad used for draining fuel and oil from incoming vehicles, the proposed new truck wash, and the hazardous goods store and drum wash. All these areas are to be roofed, with water generated directed to the “dirty” catchment. This water will be removed off-site for treatment by a licensed contracted, or discharged to the sewer under agreement Sydney Water, if appropriate.</w:t>
      </w:r>
    </w:p>
    <w:p w14:paraId="21ABA36B" w14:textId="77777777" w:rsidR="00795D7C" w:rsidRDefault="00795D7C" w:rsidP="00795D7C">
      <w:pPr>
        <w:spacing w:before="120" w:after="120"/>
        <w:rPr>
          <w:rFonts w:ascii="Century Gothic" w:hAnsi="Century Gothic"/>
          <w:sz w:val="20"/>
          <w:szCs w:val="20"/>
        </w:rPr>
      </w:pPr>
      <w:r>
        <w:rPr>
          <w:rFonts w:ascii="Century Gothic" w:hAnsi="Century Gothic"/>
          <w:sz w:val="20"/>
          <w:szCs w:val="20"/>
        </w:rPr>
        <w:t xml:space="preserve">A detailed analysis of the proposed drainage and stormwater infrastructure systems, including the primary and secondary, and tertiary treatment systems that are proposed can be found in Section 5.2 of the SWMP. </w:t>
      </w:r>
    </w:p>
    <w:p w14:paraId="50A8F5E5" w14:textId="77777777" w:rsidR="00795D7C" w:rsidRPr="0089011F" w:rsidRDefault="00795D7C" w:rsidP="00795D7C">
      <w:pPr>
        <w:spacing w:before="120" w:after="120"/>
        <w:rPr>
          <w:rFonts w:ascii="Century Gothic" w:hAnsi="Century Gothic"/>
          <w:sz w:val="20"/>
          <w:szCs w:val="20"/>
        </w:rPr>
      </w:pPr>
      <w:r>
        <w:rPr>
          <w:rFonts w:ascii="Century Gothic" w:hAnsi="Century Gothic"/>
          <w:sz w:val="20"/>
          <w:szCs w:val="20"/>
        </w:rPr>
        <w:t>Proposed stormwater discharge limits and monitoring processes are discussed in Section 5.3, with management measures for pollution prevention in Section 5.4 of the SWMP.</w:t>
      </w:r>
    </w:p>
    <w:p w14:paraId="7CEE2A9A" w14:textId="77777777" w:rsidR="00795D7C" w:rsidRPr="006F13C9" w:rsidRDefault="00795D7C" w:rsidP="00795D7C">
      <w:pPr>
        <w:spacing w:before="120" w:after="120"/>
        <w:jc w:val="both"/>
        <w:rPr>
          <w:rFonts w:ascii="Century Gothic" w:hAnsi="Century Gothic"/>
          <w:b/>
          <w:sz w:val="22"/>
          <w:szCs w:val="28"/>
        </w:rPr>
      </w:pPr>
      <w:r w:rsidRPr="006F13C9">
        <w:rPr>
          <w:rFonts w:ascii="Century Gothic" w:hAnsi="Century Gothic"/>
          <w:b/>
          <w:sz w:val="22"/>
          <w:szCs w:val="28"/>
        </w:rPr>
        <w:t>Key changes to waste management processes</w:t>
      </w:r>
    </w:p>
    <w:p w14:paraId="57E56309" w14:textId="77777777" w:rsidR="00795D7C" w:rsidRDefault="00795D7C" w:rsidP="00795D7C">
      <w:pPr>
        <w:pStyle w:val="StyleBodyTextUnivers55Left"/>
        <w:numPr>
          <w:ilvl w:val="0"/>
          <w:numId w:val="33"/>
        </w:numPr>
        <w:spacing w:before="120" w:after="120"/>
        <w:jc w:val="both"/>
        <w:rPr>
          <w:rFonts w:ascii="Century Gothic" w:hAnsi="Century Gothic"/>
        </w:rPr>
      </w:pPr>
      <w:r w:rsidRPr="00F125BE">
        <w:rPr>
          <w:rFonts w:ascii="Century Gothic" w:hAnsi="Century Gothic"/>
          <w:b/>
        </w:rPr>
        <w:t>Indoor drainage bay:</w:t>
      </w:r>
      <w:r w:rsidRPr="00F125BE">
        <w:rPr>
          <w:rFonts w:ascii="Century Gothic" w:hAnsi="Century Gothic"/>
        </w:rPr>
        <w:t xml:space="preserve"> </w:t>
      </w:r>
      <w:r>
        <w:rPr>
          <w:rFonts w:ascii="Century Gothic" w:hAnsi="Century Gothic"/>
        </w:rPr>
        <w:t>a new roofed, bunded area will be provided in the expanded facility where drainage of oils and fuels from incoming scrap vehicles and machinery will be carried out. Currently this activity is carried out in an open site area. This new addition to the project will allow for the improved containment of spills and prevent the wash off of oil into the drainage system. Waste oils and other liquids from the drainage bay will be contained in drums or IBCs and sent off-site for licenced recycling, treatment and/or disposal. Bulk storage areas for fuels, oils and chemicals will be contained within an impervious bund. Refer to Section 5.4.1 of the SWMP for a detailed description of the proposed amendments.</w:t>
      </w:r>
    </w:p>
    <w:p w14:paraId="16152B4F" w14:textId="77777777" w:rsidR="00795D7C" w:rsidRDefault="00795D7C" w:rsidP="00795D7C">
      <w:pPr>
        <w:pStyle w:val="StyleBodyTextUnivers55Left"/>
        <w:numPr>
          <w:ilvl w:val="0"/>
          <w:numId w:val="33"/>
        </w:numPr>
        <w:spacing w:before="120" w:after="120"/>
        <w:jc w:val="both"/>
        <w:rPr>
          <w:rFonts w:ascii="Century Gothic" w:hAnsi="Century Gothic"/>
        </w:rPr>
      </w:pPr>
      <w:r w:rsidRPr="00F125BE">
        <w:rPr>
          <w:rFonts w:ascii="Century Gothic" w:hAnsi="Century Gothic"/>
          <w:b/>
        </w:rPr>
        <w:t>Improved waste management:</w:t>
      </w:r>
      <w:r w:rsidRPr="00F125BE">
        <w:rPr>
          <w:rFonts w:ascii="Century Gothic" w:hAnsi="Century Gothic"/>
        </w:rPr>
        <w:t xml:space="preserve"> </w:t>
      </w:r>
      <w:r>
        <w:rPr>
          <w:rFonts w:ascii="Century Gothic" w:hAnsi="Century Gothic"/>
        </w:rPr>
        <w:t>Rather than floc from the hammermill being stockpiled in a roofed bay and removed for disposal periodically, in the expanded site the floc will travel by a covered overhead conveyor to Building ‘C’ where it will be further processed to remove additional metals, before being loaded into trucks for disposal. This amended process will eliminate the risk of floc entering the stormwater system on-site.</w:t>
      </w:r>
    </w:p>
    <w:p w14:paraId="452B43C6" w14:textId="77777777" w:rsidR="00795D7C" w:rsidRDefault="00795D7C" w:rsidP="00795D7C">
      <w:pPr>
        <w:pStyle w:val="StyleBodyTextUnivers55Left"/>
        <w:numPr>
          <w:ilvl w:val="0"/>
          <w:numId w:val="33"/>
        </w:numPr>
        <w:spacing w:before="120" w:after="120"/>
        <w:jc w:val="both"/>
        <w:rPr>
          <w:rFonts w:ascii="Century Gothic" w:hAnsi="Century Gothic"/>
        </w:rPr>
      </w:pPr>
      <w:r w:rsidRPr="00F125BE">
        <w:rPr>
          <w:rFonts w:ascii="Century Gothic" w:hAnsi="Century Gothic"/>
          <w:b/>
        </w:rPr>
        <w:t>Bunding of oxy-cutting pad:</w:t>
      </w:r>
      <w:r>
        <w:rPr>
          <w:rFonts w:ascii="Century Gothic" w:hAnsi="Century Gothic"/>
        </w:rPr>
        <w:t xml:space="preserve"> To prevent the risk of explosion, oxy cutting cannot take place on a concrete surface, and current activities occur in an area with soil covering underlying concrete. In the expanded site, the oxy cutting area will be on a coarser surface (such as sand), and will be contained within bunds or sandbags to prevent wash-off during rain. This amended process will reduce rust and sediment loading on-site.</w:t>
      </w:r>
    </w:p>
    <w:p w14:paraId="3C780D2A" w14:textId="77777777" w:rsidR="00A82250" w:rsidRPr="00C8781C" w:rsidRDefault="00A82250" w:rsidP="00C8781C">
      <w:pPr>
        <w:spacing w:before="120" w:after="120"/>
        <w:jc w:val="both"/>
        <w:rPr>
          <w:rFonts w:ascii="Century Gothic" w:hAnsi="Century Gothic"/>
          <w:b/>
          <w:szCs w:val="28"/>
        </w:rPr>
      </w:pPr>
      <w:r w:rsidRPr="00C8781C">
        <w:rPr>
          <w:rFonts w:ascii="Century Gothic" w:hAnsi="Century Gothic"/>
          <w:b/>
          <w:szCs w:val="28"/>
        </w:rPr>
        <w:lastRenderedPageBreak/>
        <w:t>Surface Water Quality and Flow</w:t>
      </w:r>
    </w:p>
    <w:p w14:paraId="1430BB5B" w14:textId="2BFC8C70"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As described in the introduction to this </w:t>
      </w:r>
      <w:r w:rsidR="006F13C9">
        <w:rPr>
          <w:rFonts w:ascii="Century Gothic" w:hAnsi="Century Gothic"/>
          <w:sz w:val="20"/>
          <w:szCs w:val="20"/>
        </w:rPr>
        <w:t>letter</w:t>
      </w:r>
      <w:r>
        <w:rPr>
          <w:rFonts w:ascii="Century Gothic" w:hAnsi="Century Gothic"/>
          <w:sz w:val="20"/>
          <w:szCs w:val="20"/>
        </w:rPr>
        <w:t xml:space="preserve"> there are a number of changes that are being proposed that will significantly improve processes on-site to prevent pollutants from discharging into on-site stormwater systems, and flows to Breakfast Creek. An updated Stormwater Management Plan has been prepared, and can be found in </w:t>
      </w:r>
      <w:r>
        <w:rPr>
          <w:rFonts w:ascii="Century Gothic" w:hAnsi="Century Gothic"/>
          <w:b/>
          <w:sz w:val="20"/>
          <w:szCs w:val="20"/>
        </w:rPr>
        <w:t xml:space="preserve">Appendix </w:t>
      </w:r>
      <w:r w:rsidR="005257FD">
        <w:rPr>
          <w:rFonts w:ascii="Century Gothic" w:hAnsi="Century Gothic"/>
          <w:b/>
          <w:sz w:val="20"/>
          <w:szCs w:val="20"/>
        </w:rPr>
        <w:t>2</w:t>
      </w:r>
      <w:r w:rsidRPr="00683E49">
        <w:rPr>
          <w:rFonts w:ascii="Century Gothic" w:hAnsi="Century Gothic"/>
          <w:sz w:val="20"/>
          <w:szCs w:val="20"/>
        </w:rPr>
        <w:t>.</w:t>
      </w:r>
      <w:r w:rsidR="00EB617E">
        <w:rPr>
          <w:rFonts w:ascii="Century Gothic" w:hAnsi="Century Gothic"/>
          <w:sz w:val="20"/>
          <w:szCs w:val="20"/>
        </w:rPr>
        <w:t xml:space="preserve"> Th</w:t>
      </w:r>
      <w:r>
        <w:rPr>
          <w:rFonts w:ascii="Century Gothic" w:hAnsi="Century Gothic"/>
          <w:sz w:val="20"/>
          <w:szCs w:val="20"/>
        </w:rPr>
        <w:t>e stormwater management plan proposes the following additional measures, which are designed to minimise discharge from the potentially contaminated catchments and maximise treatment performance:</w:t>
      </w:r>
    </w:p>
    <w:p w14:paraId="2C905472" w14:textId="77777777" w:rsidR="00A82250" w:rsidRDefault="00A82250" w:rsidP="00A82250">
      <w:pPr>
        <w:pStyle w:val="StyleBodyTextUnivers55Left"/>
        <w:numPr>
          <w:ilvl w:val="0"/>
          <w:numId w:val="4"/>
        </w:numPr>
        <w:spacing w:before="120" w:after="120"/>
        <w:jc w:val="both"/>
        <w:rPr>
          <w:rFonts w:ascii="Century Gothic" w:hAnsi="Century Gothic"/>
        </w:rPr>
      </w:pPr>
      <w:r>
        <w:rPr>
          <w:rFonts w:ascii="Century Gothic" w:hAnsi="Century Gothic"/>
        </w:rPr>
        <w:t>Separate containment and off-site disposal for waste waters in the potentially most contaminated locations (“contaminated drainage” – refer to Figure 3 of SWMP);</w:t>
      </w:r>
    </w:p>
    <w:p w14:paraId="380470B5" w14:textId="0A4A454A" w:rsidR="00A82250" w:rsidRDefault="00EB617E" w:rsidP="00A82250">
      <w:pPr>
        <w:pStyle w:val="StyleBodyTextUnivers55Left"/>
        <w:numPr>
          <w:ilvl w:val="0"/>
          <w:numId w:val="4"/>
        </w:numPr>
        <w:spacing w:before="120" w:after="120"/>
        <w:jc w:val="both"/>
        <w:rPr>
          <w:rFonts w:ascii="Century Gothic" w:hAnsi="Century Gothic"/>
        </w:rPr>
      </w:pPr>
      <w:r>
        <w:rPr>
          <w:rFonts w:ascii="Century Gothic" w:hAnsi="Century Gothic"/>
        </w:rPr>
        <w:t>Improve</w:t>
      </w:r>
      <w:r w:rsidRPr="00441038">
        <w:rPr>
          <w:rFonts w:ascii="Century Gothic" w:hAnsi="Century Gothic"/>
        </w:rPr>
        <w:t xml:space="preserve">ments to the stormwater basin </w:t>
      </w:r>
      <w:r>
        <w:rPr>
          <w:rFonts w:ascii="Century Gothic" w:hAnsi="Century Gothic"/>
        </w:rPr>
        <w:t xml:space="preserve">configuration to increase the storage </w:t>
      </w:r>
      <w:r w:rsidRPr="00441038">
        <w:rPr>
          <w:rFonts w:ascii="Century Gothic" w:hAnsi="Century Gothic"/>
        </w:rPr>
        <w:t xml:space="preserve">volume over the original </w:t>
      </w:r>
      <w:r>
        <w:rPr>
          <w:rFonts w:ascii="Century Gothic" w:hAnsi="Century Gothic"/>
        </w:rPr>
        <w:t xml:space="preserve">scheme, with </w:t>
      </w:r>
      <w:r w:rsidR="00A82250">
        <w:rPr>
          <w:rFonts w:ascii="Century Gothic" w:hAnsi="Century Gothic"/>
        </w:rPr>
        <w:t>8064m</w:t>
      </w:r>
      <w:r w:rsidR="00A82250" w:rsidRPr="00A82250">
        <w:rPr>
          <w:rFonts w:ascii="Century Gothic" w:hAnsi="Century Gothic"/>
          <w:vertAlign w:val="superscript"/>
        </w:rPr>
        <w:t>2</w:t>
      </w:r>
      <w:r w:rsidR="00A82250">
        <w:rPr>
          <w:rFonts w:ascii="Century Gothic" w:hAnsi="Century Gothic"/>
        </w:rPr>
        <w:t xml:space="preserve"> of stormwater holding capacity, which will minimise pollutant loading being discharged to Breakfast Creek; and</w:t>
      </w:r>
    </w:p>
    <w:p w14:paraId="1D649AAF" w14:textId="5E50D882" w:rsidR="00A82250" w:rsidRDefault="00A82250" w:rsidP="00A82250">
      <w:pPr>
        <w:pStyle w:val="StyleBodyTextUnivers55Left"/>
        <w:numPr>
          <w:ilvl w:val="0"/>
          <w:numId w:val="4"/>
        </w:numPr>
        <w:spacing w:before="120" w:after="120"/>
        <w:jc w:val="both"/>
        <w:rPr>
          <w:rFonts w:ascii="Century Gothic" w:hAnsi="Century Gothic"/>
        </w:rPr>
      </w:pPr>
      <w:r>
        <w:rPr>
          <w:rFonts w:ascii="Century Gothic" w:hAnsi="Century Gothic"/>
        </w:rPr>
        <w:t>A new oversized tertiary treatment plant permitting highest treatment rate achievable at maximum flow. It is noted in the report that this solution (oversized tertiary treatment plant) will permit longer residence times compared to a smaller unit, which should also increase performance on metals removal. It is also noted that the model selected can also be retrofitted with additional filters to improve organics removal if necessary.</w:t>
      </w:r>
    </w:p>
    <w:p w14:paraId="378EF7A1" w14:textId="21B038A5"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As part of the development of a stormwater management plan, Sell &amp; Parker have investigated the potential for discharge of stormwater to the Sydney Water sewer system as an alternative </w:t>
      </w:r>
      <w:r w:rsidR="009523C3">
        <w:rPr>
          <w:rFonts w:ascii="Century Gothic" w:hAnsi="Century Gothic"/>
          <w:sz w:val="20"/>
          <w:szCs w:val="20"/>
        </w:rPr>
        <w:t>to</w:t>
      </w:r>
      <w:r>
        <w:rPr>
          <w:rFonts w:ascii="Century Gothic" w:hAnsi="Century Gothic"/>
          <w:sz w:val="20"/>
          <w:szCs w:val="20"/>
        </w:rPr>
        <w:t xml:space="preserve"> on-site treatment. The investigation concluded the volume of water Sydney Water would be likely to accept was “insignificant” compared to the total volume required for tertiary treatment, and as a result discharge to the sewer was considered to offer no environmental benefit. As such, the report concluded “this option has been discarded as an option for treating stormwater from the site’s “dirty” catchment”. </w:t>
      </w:r>
    </w:p>
    <w:p w14:paraId="02BE9CFB" w14:textId="77777777" w:rsidR="00A82250" w:rsidRPr="006F13C9" w:rsidRDefault="00A82250" w:rsidP="006F13C9">
      <w:pPr>
        <w:spacing w:before="120" w:after="120"/>
        <w:jc w:val="both"/>
        <w:rPr>
          <w:rFonts w:ascii="Century Gothic" w:hAnsi="Century Gothic"/>
          <w:b/>
          <w:sz w:val="22"/>
          <w:szCs w:val="28"/>
        </w:rPr>
      </w:pPr>
      <w:r w:rsidRPr="006F13C9">
        <w:rPr>
          <w:rFonts w:ascii="Century Gothic" w:hAnsi="Century Gothic"/>
          <w:b/>
          <w:sz w:val="22"/>
          <w:szCs w:val="28"/>
        </w:rPr>
        <w:t>Summary of Risk Assessment</w:t>
      </w:r>
    </w:p>
    <w:p w14:paraId="6598F337" w14:textId="77777777" w:rsidR="00A82250" w:rsidRPr="006F13C9" w:rsidRDefault="00A82250" w:rsidP="006F13C9">
      <w:pPr>
        <w:spacing w:before="120" w:after="120"/>
        <w:jc w:val="both"/>
        <w:rPr>
          <w:rFonts w:ascii="Century Gothic" w:hAnsi="Century Gothic"/>
          <w:i/>
          <w:sz w:val="22"/>
          <w:szCs w:val="28"/>
        </w:rPr>
      </w:pPr>
      <w:r w:rsidRPr="006F13C9">
        <w:rPr>
          <w:rFonts w:ascii="Century Gothic" w:hAnsi="Century Gothic"/>
          <w:i/>
          <w:sz w:val="22"/>
          <w:szCs w:val="28"/>
        </w:rPr>
        <w:t>Risk associated with copper, chromium and zinc discharge</w:t>
      </w:r>
    </w:p>
    <w:p w14:paraId="37B7815D" w14:textId="78A17CB0" w:rsidR="00A82250" w:rsidRPr="00A82250" w:rsidRDefault="00A82250" w:rsidP="00A82250">
      <w:pPr>
        <w:spacing w:before="120" w:after="120"/>
        <w:rPr>
          <w:rFonts w:ascii="Century Gothic" w:hAnsi="Century Gothic"/>
          <w:sz w:val="20"/>
          <w:szCs w:val="20"/>
        </w:rPr>
      </w:pPr>
      <w:r>
        <w:rPr>
          <w:rFonts w:ascii="Century Gothic" w:hAnsi="Century Gothic"/>
          <w:sz w:val="20"/>
          <w:szCs w:val="20"/>
        </w:rPr>
        <w:t xml:space="preserve">An assessment of the risk associated with copper, chromium and zinc discharge to Breakfast Creek can be found in </w:t>
      </w:r>
      <w:r w:rsidRPr="005257FD">
        <w:rPr>
          <w:rFonts w:ascii="Century Gothic" w:hAnsi="Century Gothic"/>
          <w:sz w:val="20"/>
          <w:szCs w:val="20"/>
        </w:rPr>
        <w:t>Section 3.4.1</w:t>
      </w:r>
      <w:r>
        <w:rPr>
          <w:rFonts w:ascii="Century Gothic" w:hAnsi="Century Gothic"/>
          <w:sz w:val="20"/>
          <w:szCs w:val="20"/>
        </w:rPr>
        <w:t xml:space="preserve"> of the SWMP. In summary, the report finds that the risk that non-trivial environmental har</w:t>
      </w:r>
      <w:r w:rsidR="00EB617E">
        <w:rPr>
          <w:rFonts w:ascii="Century Gothic" w:hAnsi="Century Gothic"/>
          <w:sz w:val="20"/>
          <w:szCs w:val="20"/>
        </w:rPr>
        <w:t>m</w:t>
      </w:r>
      <w:r>
        <w:rPr>
          <w:rFonts w:ascii="Century Gothic" w:hAnsi="Century Gothic"/>
          <w:sz w:val="20"/>
          <w:szCs w:val="20"/>
        </w:rPr>
        <w:t xml:space="preserve"> could result is considered very low, given that the need for on-site stormwater discharge to Breakfast Creek during low flow conditions is considered unlikely, and that when discharge is required it will always follow </w:t>
      </w:r>
      <w:r w:rsidR="00EB617E">
        <w:rPr>
          <w:rFonts w:ascii="Century Gothic" w:hAnsi="Century Gothic"/>
          <w:sz w:val="20"/>
          <w:szCs w:val="20"/>
        </w:rPr>
        <w:t xml:space="preserve">high </w:t>
      </w:r>
      <w:r>
        <w:rPr>
          <w:rFonts w:ascii="Century Gothic" w:hAnsi="Century Gothic"/>
          <w:sz w:val="20"/>
          <w:szCs w:val="20"/>
        </w:rPr>
        <w:t>rainfall, which is the same time that the flows at Breakfast Creek will be at its highest.</w:t>
      </w:r>
    </w:p>
    <w:p w14:paraId="15EAAB59" w14:textId="77777777" w:rsidR="00A82250" w:rsidRPr="006F13C9" w:rsidRDefault="00A82250" w:rsidP="006F13C9">
      <w:pPr>
        <w:spacing w:before="120" w:after="120"/>
        <w:jc w:val="both"/>
        <w:rPr>
          <w:rFonts w:ascii="Century Gothic" w:hAnsi="Century Gothic"/>
          <w:i/>
          <w:sz w:val="22"/>
          <w:szCs w:val="28"/>
        </w:rPr>
      </w:pPr>
      <w:r w:rsidRPr="006F13C9">
        <w:rPr>
          <w:rFonts w:ascii="Century Gothic" w:hAnsi="Century Gothic"/>
          <w:i/>
          <w:sz w:val="22"/>
          <w:szCs w:val="28"/>
        </w:rPr>
        <w:t>Risk associate with discharge of untreated stormwater</w:t>
      </w:r>
    </w:p>
    <w:p w14:paraId="66BC31A6" w14:textId="77777777"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It is considered that discharge of untreated stormwater will not occur under normal operating conditions, with the increased stormwater holding capacity providing capacity to retain a 1 in 100 year storm event. In the event an “extreme event” occurs on-site, the retention basin will overflow through the overflow outfall which will be set at the basin’s maximum height of 40.30m AHD, which is necessary to prevent flooding of the site. Should such an event occur, it is considered likely that the flows to Breakfast Creek from other sources will also be extremely high, and these conditions will mitigate potential impacts from untreated discharge. </w:t>
      </w:r>
    </w:p>
    <w:p w14:paraId="5CC98F9C" w14:textId="44A8AACF"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The full assessment can be found in </w:t>
      </w:r>
      <w:r w:rsidRPr="005257FD">
        <w:rPr>
          <w:rFonts w:ascii="Century Gothic" w:hAnsi="Century Gothic"/>
          <w:sz w:val="20"/>
          <w:szCs w:val="20"/>
        </w:rPr>
        <w:t>Section 3.4 and 3.5</w:t>
      </w:r>
      <w:r w:rsidRPr="00224A49">
        <w:rPr>
          <w:rFonts w:ascii="Century Gothic" w:hAnsi="Century Gothic"/>
          <w:b/>
          <w:sz w:val="20"/>
          <w:szCs w:val="20"/>
        </w:rPr>
        <w:t xml:space="preserve"> </w:t>
      </w:r>
      <w:r>
        <w:rPr>
          <w:rFonts w:ascii="Century Gothic" w:hAnsi="Century Gothic"/>
          <w:sz w:val="20"/>
          <w:szCs w:val="20"/>
        </w:rPr>
        <w:t>of the SWMP.</w:t>
      </w:r>
      <w:r w:rsidR="00EB617E">
        <w:rPr>
          <w:rFonts w:ascii="Century Gothic" w:hAnsi="Century Gothic"/>
          <w:sz w:val="20"/>
          <w:szCs w:val="20"/>
        </w:rPr>
        <w:t xml:space="preserve"> </w:t>
      </w:r>
    </w:p>
    <w:p w14:paraId="227A41DD" w14:textId="77777777" w:rsidR="00CC6A8A" w:rsidRDefault="00CC6A8A" w:rsidP="00A82250">
      <w:pPr>
        <w:spacing w:before="120" w:after="120"/>
        <w:rPr>
          <w:rFonts w:ascii="Century Gothic" w:hAnsi="Century Gothic"/>
          <w:sz w:val="20"/>
          <w:szCs w:val="20"/>
        </w:rPr>
      </w:pPr>
    </w:p>
    <w:p w14:paraId="3B973980" w14:textId="77777777" w:rsidR="00A82250" w:rsidRPr="006F13C9" w:rsidRDefault="00A82250" w:rsidP="006F13C9">
      <w:pPr>
        <w:spacing w:before="120" w:after="120"/>
        <w:jc w:val="both"/>
        <w:rPr>
          <w:rFonts w:ascii="Century Gothic" w:hAnsi="Century Gothic"/>
          <w:b/>
          <w:szCs w:val="28"/>
        </w:rPr>
      </w:pPr>
      <w:r w:rsidRPr="006F13C9">
        <w:rPr>
          <w:rFonts w:ascii="Century Gothic" w:hAnsi="Century Gothic"/>
          <w:b/>
          <w:szCs w:val="28"/>
        </w:rPr>
        <w:t>Water Balance</w:t>
      </w:r>
    </w:p>
    <w:p w14:paraId="3385B792" w14:textId="77777777" w:rsidR="00A82250" w:rsidRDefault="00A82250" w:rsidP="00A82250">
      <w:pPr>
        <w:spacing w:before="120" w:after="120"/>
        <w:rPr>
          <w:rFonts w:ascii="Century Gothic" w:hAnsi="Century Gothic"/>
          <w:sz w:val="20"/>
          <w:szCs w:val="20"/>
        </w:rPr>
      </w:pPr>
      <w:r w:rsidRPr="00465533">
        <w:rPr>
          <w:rFonts w:ascii="Century Gothic" w:hAnsi="Century Gothic"/>
          <w:sz w:val="20"/>
          <w:szCs w:val="20"/>
        </w:rPr>
        <w:t xml:space="preserve">It </w:t>
      </w:r>
      <w:r>
        <w:rPr>
          <w:rFonts w:ascii="Century Gothic" w:hAnsi="Century Gothic"/>
          <w:sz w:val="20"/>
          <w:szCs w:val="20"/>
        </w:rPr>
        <w:t>is estimated that with an increase to 80 employees on-site, the associated increase in water usage rates can be accommodated through rainwater harvesting and reuse of stormwater from the basin.</w:t>
      </w:r>
    </w:p>
    <w:p w14:paraId="2BE02E3D" w14:textId="0D616BAC" w:rsidR="00A82250" w:rsidRDefault="00A82250" w:rsidP="00A82250">
      <w:pPr>
        <w:spacing w:before="120" w:after="120"/>
        <w:rPr>
          <w:rFonts w:ascii="Century Gothic" w:hAnsi="Century Gothic"/>
          <w:sz w:val="20"/>
          <w:szCs w:val="20"/>
        </w:rPr>
      </w:pPr>
      <w:r>
        <w:rPr>
          <w:rFonts w:ascii="Century Gothic" w:hAnsi="Century Gothic"/>
          <w:sz w:val="20"/>
          <w:szCs w:val="20"/>
        </w:rPr>
        <w:t>Water for on-site processes (such as</w:t>
      </w:r>
      <w:r w:rsidR="00137970">
        <w:rPr>
          <w:rFonts w:ascii="Century Gothic" w:hAnsi="Century Gothic"/>
          <w:sz w:val="20"/>
          <w:szCs w:val="20"/>
        </w:rPr>
        <w:t xml:space="preserve"> cooling within the hammermill</w:t>
      </w:r>
      <w:r>
        <w:rPr>
          <w:rFonts w:ascii="Century Gothic" w:hAnsi="Century Gothic"/>
          <w:sz w:val="20"/>
          <w:szCs w:val="20"/>
        </w:rPr>
        <w:t>, and dust suppression within the conveyor) is currently supplied primarily from the stormwater basin, however with expanded operations direct collection from roof water alone will be insufficient, and surface water from the basin will also be used.</w:t>
      </w:r>
    </w:p>
    <w:p w14:paraId="525A979A" w14:textId="3E364EC4"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As a result of the increased amount of metal processing that will occur indoors, improved containment of the </w:t>
      </w:r>
      <w:r w:rsidR="00EB617E">
        <w:rPr>
          <w:rFonts w:ascii="Century Gothic" w:hAnsi="Century Gothic"/>
          <w:sz w:val="20"/>
          <w:szCs w:val="20"/>
        </w:rPr>
        <w:t>separated</w:t>
      </w:r>
      <w:r>
        <w:rPr>
          <w:rFonts w:ascii="Century Gothic" w:hAnsi="Century Gothic"/>
          <w:sz w:val="20"/>
          <w:szCs w:val="20"/>
        </w:rPr>
        <w:t xml:space="preserve"> water, and improved drainage and hardstanding, the amount of dust suppression required is likely to decrease, and in turn reduce demand on water resource.</w:t>
      </w:r>
    </w:p>
    <w:p w14:paraId="7FB11C4F" w14:textId="1644F9EC" w:rsidR="00A82250" w:rsidRDefault="00A82250" w:rsidP="00A82250">
      <w:pPr>
        <w:spacing w:before="120" w:after="120"/>
        <w:rPr>
          <w:rFonts w:ascii="Century Gothic" w:hAnsi="Century Gothic"/>
          <w:sz w:val="20"/>
          <w:szCs w:val="20"/>
        </w:rPr>
      </w:pPr>
      <w:r>
        <w:rPr>
          <w:rFonts w:ascii="Century Gothic" w:hAnsi="Century Gothic"/>
          <w:sz w:val="20"/>
          <w:szCs w:val="20"/>
        </w:rPr>
        <w:t xml:space="preserve">A full assessment of water balance, including reuse of water, amended strategies relating to rainwater harvesting, risk assessment for water reuse, drainage design calculations, and the treatment strategies for the proposed stormwater basin can be found in </w:t>
      </w:r>
      <w:r w:rsidRPr="005257FD">
        <w:rPr>
          <w:rFonts w:ascii="Century Gothic" w:hAnsi="Century Gothic"/>
          <w:sz w:val="20"/>
          <w:szCs w:val="20"/>
        </w:rPr>
        <w:t>Section 4</w:t>
      </w:r>
      <w:r>
        <w:rPr>
          <w:rFonts w:ascii="Century Gothic" w:hAnsi="Century Gothic"/>
          <w:sz w:val="20"/>
          <w:szCs w:val="20"/>
        </w:rPr>
        <w:t xml:space="preserve"> of the SWMP.</w:t>
      </w:r>
    </w:p>
    <w:p w14:paraId="0A72DB3C" w14:textId="77777777" w:rsidR="006F13C9" w:rsidRDefault="006F13C9" w:rsidP="00C238F8">
      <w:pPr>
        <w:spacing w:before="120" w:after="120"/>
        <w:rPr>
          <w:rFonts w:ascii="Century Gothic" w:hAnsi="Century Gothic"/>
          <w:sz w:val="20"/>
          <w:szCs w:val="20"/>
        </w:rPr>
      </w:pPr>
    </w:p>
    <w:p w14:paraId="0E3FD811" w14:textId="77777777" w:rsidR="00025A1C" w:rsidRPr="00A82250" w:rsidRDefault="00025A1C" w:rsidP="00795D7C">
      <w:pPr>
        <w:pStyle w:val="ListParagraph"/>
        <w:numPr>
          <w:ilvl w:val="1"/>
          <w:numId w:val="3"/>
        </w:numPr>
        <w:spacing w:before="120" w:after="120"/>
        <w:ind w:left="709" w:hanging="709"/>
        <w:contextualSpacing w:val="0"/>
        <w:jc w:val="both"/>
        <w:rPr>
          <w:rFonts w:ascii="Century Gothic" w:hAnsi="Century Gothic"/>
          <w:b/>
          <w:szCs w:val="28"/>
        </w:rPr>
      </w:pPr>
      <w:r w:rsidRPr="00A82250">
        <w:rPr>
          <w:rFonts w:ascii="Century Gothic" w:hAnsi="Century Gothic"/>
          <w:b/>
          <w:szCs w:val="28"/>
        </w:rPr>
        <w:t xml:space="preserve">Air </w:t>
      </w:r>
      <w:r w:rsidR="00716CEA" w:rsidRPr="00A82250">
        <w:rPr>
          <w:rFonts w:ascii="Century Gothic" w:hAnsi="Century Gothic"/>
          <w:b/>
          <w:szCs w:val="28"/>
        </w:rPr>
        <w:t>Quality Assessment</w:t>
      </w:r>
    </w:p>
    <w:p w14:paraId="4250C750" w14:textId="0074AA7A" w:rsidR="005B4E9A" w:rsidRDefault="00025A1C" w:rsidP="004D41DE">
      <w:pPr>
        <w:spacing w:before="120" w:after="120"/>
        <w:rPr>
          <w:rFonts w:ascii="Century Gothic" w:hAnsi="Century Gothic"/>
          <w:sz w:val="20"/>
          <w:szCs w:val="20"/>
        </w:rPr>
      </w:pPr>
      <w:r>
        <w:rPr>
          <w:rFonts w:ascii="Century Gothic" w:hAnsi="Century Gothic"/>
          <w:sz w:val="20"/>
          <w:szCs w:val="20"/>
        </w:rPr>
        <w:t>An updated</w:t>
      </w:r>
      <w:r w:rsidR="00951DBF">
        <w:rPr>
          <w:rFonts w:ascii="Century Gothic" w:hAnsi="Century Gothic"/>
          <w:sz w:val="20"/>
          <w:szCs w:val="20"/>
        </w:rPr>
        <w:t xml:space="preserve"> air quality assessment</w:t>
      </w:r>
      <w:r>
        <w:rPr>
          <w:rFonts w:ascii="Century Gothic" w:hAnsi="Century Gothic"/>
          <w:sz w:val="20"/>
          <w:szCs w:val="20"/>
        </w:rPr>
        <w:t xml:space="preserve"> has been prepared by </w:t>
      </w:r>
      <w:r w:rsidR="00BF382C">
        <w:rPr>
          <w:rFonts w:ascii="Century Gothic" w:hAnsi="Century Gothic"/>
          <w:sz w:val="20"/>
          <w:szCs w:val="20"/>
        </w:rPr>
        <w:t xml:space="preserve">ERM </w:t>
      </w:r>
      <w:r>
        <w:rPr>
          <w:rFonts w:ascii="Century Gothic" w:hAnsi="Century Gothic"/>
          <w:sz w:val="20"/>
          <w:szCs w:val="20"/>
        </w:rPr>
        <w:t xml:space="preserve">to assess </w:t>
      </w:r>
      <w:r w:rsidR="00D31444">
        <w:rPr>
          <w:rFonts w:ascii="Century Gothic" w:hAnsi="Century Gothic"/>
          <w:sz w:val="20"/>
          <w:szCs w:val="20"/>
        </w:rPr>
        <w:t>impacts to air quality resulting from the proposed expanded operation of the metal recycling facility</w:t>
      </w:r>
      <w:r w:rsidR="00A82250">
        <w:rPr>
          <w:rFonts w:ascii="Century Gothic" w:hAnsi="Century Gothic"/>
          <w:sz w:val="20"/>
          <w:szCs w:val="20"/>
        </w:rPr>
        <w:t>, and can be found in</w:t>
      </w:r>
      <w:r w:rsidR="00A82250" w:rsidRPr="005B4E9A">
        <w:rPr>
          <w:rFonts w:ascii="Century Gothic" w:hAnsi="Century Gothic"/>
          <w:b/>
          <w:sz w:val="20"/>
          <w:szCs w:val="20"/>
        </w:rPr>
        <w:t xml:space="preserve"> Appendix</w:t>
      </w:r>
      <w:r w:rsidR="005B4E9A" w:rsidRPr="005B4E9A">
        <w:rPr>
          <w:rFonts w:ascii="Century Gothic" w:hAnsi="Century Gothic"/>
          <w:b/>
          <w:sz w:val="20"/>
          <w:szCs w:val="20"/>
        </w:rPr>
        <w:t xml:space="preserve"> </w:t>
      </w:r>
      <w:r w:rsidR="005257FD">
        <w:rPr>
          <w:rFonts w:ascii="Century Gothic" w:hAnsi="Century Gothic"/>
          <w:b/>
          <w:sz w:val="20"/>
          <w:szCs w:val="20"/>
        </w:rPr>
        <w:t>3</w:t>
      </w:r>
      <w:r w:rsidR="005B4E9A">
        <w:rPr>
          <w:rFonts w:ascii="Century Gothic" w:hAnsi="Century Gothic"/>
          <w:sz w:val="20"/>
          <w:szCs w:val="20"/>
        </w:rPr>
        <w:t xml:space="preserve"> of this </w:t>
      </w:r>
      <w:r w:rsidR="006F13C9">
        <w:rPr>
          <w:rFonts w:ascii="Century Gothic" w:hAnsi="Century Gothic"/>
          <w:sz w:val="20"/>
          <w:szCs w:val="20"/>
        </w:rPr>
        <w:t>letter</w:t>
      </w:r>
      <w:r w:rsidR="00D31444">
        <w:rPr>
          <w:rFonts w:ascii="Century Gothic" w:hAnsi="Century Gothic"/>
          <w:sz w:val="20"/>
          <w:szCs w:val="20"/>
        </w:rPr>
        <w:t xml:space="preserve">. </w:t>
      </w:r>
    </w:p>
    <w:p w14:paraId="2FFB1850" w14:textId="77777777" w:rsidR="005B4E9A" w:rsidRPr="00795D7C" w:rsidRDefault="005B4E9A" w:rsidP="00795D7C">
      <w:pPr>
        <w:spacing w:before="120" w:after="120"/>
        <w:jc w:val="both"/>
        <w:rPr>
          <w:rFonts w:ascii="Century Gothic" w:hAnsi="Century Gothic"/>
          <w:b/>
          <w:sz w:val="22"/>
          <w:szCs w:val="28"/>
        </w:rPr>
      </w:pPr>
      <w:r w:rsidRPr="00795D7C">
        <w:rPr>
          <w:rFonts w:ascii="Century Gothic" w:hAnsi="Century Gothic"/>
          <w:b/>
          <w:sz w:val="22"/>
          <w:szCs w:val="28"/>
        </w:rPr>
        <w:t>Changes to processes on site</w:t>
      </w:r>
    </w:p>
    <w:p w14:paraId="4EE07D25" w14:textId="77777777" w:rsidR="005B4E9A" w:rsidRDefault="005B4E9A" w:rsidP="004D41DE">
      <w:pPr>
        <w:spacing w:before="120" w:after="120"/>
        <w:rPr>
          <w:rFonts w:ascii="Century Gothic" w:hAnsi="Century Gothic"/>
          <w:sz w:val="20"/>
          <w:szCs w:val="20"/>
        </w:rPr>
      </w:pPr>
      <w:r>
        <w:rPr>
          <w:rFonts w:ascii="Century Gothic" w:hAnsi="Century Gothic"/>
          <w:sz w:val="20"/>
          <w:szCs w:val="20"/>
        </w:rPr>
        <w:t>A number of changes have been proposed to reduce the quantity and ability of airbourne particulates and odours from exiting the site, including:</w:t>
      </w:r>
    </w:p>
    <w:p w14:paraId="152DC43E" w14:textId="7E32E6CF" w:rsidR="00AE0620" w:rsidRDefault="00AE0620"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Enclosed conveyers</w:t>
      </w:r>
      <w:r w:rsidRPr="00AE0620">
        <w:rPr>
          <w:rFonts w:ascii="Century Gothic" w:hAnsi="Century Gothic"/>
        </w:rPr>
        <w:t>:</w:t>
      </w:r>
      <w:r w:rsidRPr="003A5C7A">
        <w:rPr>
          <w:rFonts w:ascii="Century Gothic" w:hAnsi="Century Gothic"/>
        </w:rPr>
        <w:t xml:space="preserve"> </w:t>
      </w:r>
      <w:r w:rsidR="005B4E9A">
        <w:rPr>
          <w:rFonts w:ascii="Century Gothic" w:hAnsi="Century Gothic"/>
        </w:rPr>
        <w:t xml:space="preserve">the amended </w:t>
      </w:r>
      <w:r w:rsidR="00795D7C">
        <w:rPr>
          <w:rFonts w:ascii="Century Gothic" w:hAnsi="Century Gothic"/>
        </w:rPr>
        <w:t>project</w:t>
      </w:r>
      <w:r w:rsidR="005B4E9A">
        <w:rPr>
          <w:rFonts w:ascii="Century Gothic" w:hAnsi="Century Gothic"/>
        </w:rPr>
        <w:t xml:space="preserve"> now commits the enclosing all conveyors, including the conveyor transfer points, </w:t>
      </w:r>
      <w:r w:rsidR="0025419D">
        <w:rPr>
          <w:rFonts w:ascii="Century Gothic" w:hAnsi="Century Gothic"/>
        </w:rPr>
        <w:t>preventing dust emissions from these sources.</w:t>
      </w:r>
      <w:r w:rsidR="005B4E9A">
        <w:rPr>
          <w:rFonts w:ascii="Century Gothic" w:hAnsi="Century Gothic"/>
        </w:rPr>
        <w:t xml:space="preserve"> This will include the floc conveyor, which in current conditions has been identified as contributing to groundwater contamination when introduced to </w:t>
      </w:r>
      <w:r>
        <w:rPr>
          <w:rFonts w:ascii="Century Gothic" w:hAnsi="Century Gothic"/>
        </w:rPr>
        <w:t>stormwater on site;</w:t>
      </w:r>
    </w:p>
    <w:p w14:paraId="5EF33E0E" w14:textId="77777777" w:rsidR="00AE0620" w:rsidRDefault="00AE0620"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Introduction of sealed surfaces</w:t>
      </w:r>
      <w:r w:rsidRPr="003A5C7A">
        <w:rPr>
          <w:rFonts w:ascii="Century Gothic" w:hAnsi="Century Gothic"/>
        </w:rPr>
        <w:t xml:space="preserve">: </w:t>
      </w:r>
      <w:r w:rsidRPr="00AE0620">
        <w:rPr>
          <w:rFonts w:ascii="Century Gothic" w:hAnsi="Century Gothic"/>
        </w:rPr>
        <w:t>t</w:t>
      </w:r>
      <w:r>
        <w:rPr>
          <w:rFonts w:ascii="Century Gothic" w:hAnsi="Century Gothic"/>
        </w:rPr>
        <w:t>he site is now proposed to be totally sealed, with a paved road provided for truck movement on and off site. This will eliminate a large source of particulate matter emissions compared to an unpaved road. A sealed surface will also reduce the emission of particulate matter from the mobile materials handling equipment due to a more consistent driving surface and the ability to select more direct routes across the site;</w:t>
      </w:r>
    </w:p>
    <w:p w14:paraId="34A087D6" w14:textId="77777777" w:rsidR="005B4E9A" w:rsidRDefault="00AE0620"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Improved site layout</w:t>
      </w:r>
      <w:r>
        <w:rPr>
          <w:rFonts w:ascii="Century Gothic" w:hAnsi="Century Gothic"/>
        </w:rPr>
        <w:t xml:space="preserve">: </w:t>
      </w:r>
      <w:r w:rsidR="003C253B">
        <w:rPr>
          <w:rFonts w:ascii="Century Gothic" w:hAnsi="Century Gothic"/>
        </w:rPr>
        <w:t>a new site design will no longer require trucks to enter the site twice, instead allowing for one main entrance and exit point, reducing emissions from particulate matter from exhaust and reducing any potential emissions from wheel generated dust. It is noted however that emissions from vehicle exhaust are not considered significant (the proposed expansion will not result in a change of traffic conditions of more than 5% net across the expanded site), and as such exhaust emissions were not considered in the assessment;</w:t>
      </w:r>
    </w:p>
    <w:p w14:paraId="0D87F409" w14:textId="3A9B6B8C" w:rsidR="003C253B" w:rsidRDefault="003C253B"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Gas collection system above hammer</w:t>
      </w:r>
      <w:r w:rsidR="00187CE8" w:rsidRPr="003A5C7A">
        <w:rPr>
          <w:rFonts w:ascii="Century Gothic" w:hAnsi="Century Gothic"/>
          <w:b/>
        </w:rPr>
        <w:t xml:space="preserve"> </w:t>
      </w:r>
      <w:r w:rsidRPr="003A5C7A">
        <w:rPr>
          <w:rFonts w:ascii="Century Gothic" w:hAnsi="Century Gothic"/>
          <w:b/>
        </w:rPr>
        <w:t>mill</w:t>
      </w:r>
      <w:r>
        <w:rPr>
          <w:rFonts w:ascii="Century Gothic" w:hAnsi="Century Gothic"/>
        </w:rPr>
        <w:t xml:space="preserve">: </w:t>
      </w:r>
      <w:r w:rsidR="00187CE8">
        <w:rPr>
          <w:rFonts w:ascii="Century Gothic" w:hAnsi="Century Gothic"/>
        </w:rPr>
        <w:t xml:space="preserve">a new gas collector “extraction hood” will be installed above the hammer mill exhaust vent, to collect exhaust gases. The exhaust gases will then be passed through a cyclone and a wet scrubber to reduce particulate content of the exhaust air system. The report also notes that the wet scrubber will also reduce </w:t>
      </w:r>
      <w:r w:rsidR="0025419D">
        <w:rPr>
          <w:rFonts w:ascii="Century Gothic" w:hAnsi="Century Gothic"/>
        </w:rPr>
        <w:t>odorous</w:t>
      </w:r>
      <w:r w:rsidR="00795D7C">
        <w:rPr>
          <w:rFonts w:ascii="Century Gothic" w:hAnsi="Century Gothic"/>
        </w:rPr>
        <w:t xml:space="preserve"> emissions. </w:t>
      </w:r>
      <w:r w:rsidR="00B718B7">
        <w:rPr>
          <w:rFonts w:ascii="Century Gothic" w:hAnsi="Century Gothic"/>
        </w:rPr>
        <w:t>After gases have passed through the cyclone and the wet scrubber, they will be ducted to a central point on the site and released into the atmosphere from a 15m high stack, increasing vertical velocity and improving dispersion of emissions to the atmosphere;</w:t>
      </w:r>
    </w:p>
    <w:p w14:paraId="33A9C833" w14:textId="612640A2" w:rsidR="00187CE8" w:rsidRDefault="0025419D"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Upgrade in shearing equipment and technology</w:t>
      </w:r>
      <w:r w:rsidRPr="003A5C7A">
        <w:rPr>
          <w:rFonts w:ascii="Century Gothic" w:hAnsi="Century Gothic"/>
        </w:rPr>
        <w:t xml:space="preserve">: </w:t>
      </w:r>
      <w:r>
        <w:rPr>
          <w:rFonts w:ascii="Century Gothic" w:hAnsi="Century Gothic"/>
        </w:rPr>
        <w:t>install a 1400 tonne capacity shear to replace the current 800 tonne capacity shear. This major upgrade in technology will allow metal up to 100mm thick can be cut using the shear</w:t>
      </w:r>
      <w:r w:rsidR="00B718B7">
        <w:rPr>
          <w:rFonts w:ascii="Century Gothic" w:hAnsi="Century Gothic"/>
        </w:rPr>
        <w:t>. This will reduce the number of oxy cutters from two to one, and the hours of operation of the remaining oxy cutter from ten hours per day to six hours per day. The report notes that the shear produces minimal amounts of particulate matter as no grinding of metal occurs;</w:t>
      </w:r>
    </w:p>
    <w:p w14:paraId="13721895" w14:textId="77777777" w:rsidR="00B718B7" w:rsidRDefault="00B718B7"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Improved oxy cutting conditions</w:t>
      </w:r>
      <w:r>
        <w:rPr>
          <w:rFonts w:ascii="Century Gothic" w:hAnsi="Century Gothic"/>
        </w:rPr>
        <w:t>: this activity is now proposed to only be conducted under wet conditions, which will reduce the level of metal fumes and NO</w:t>
      </w:r>
      <w:r w:rsidRPr="003A5C7A">
        <w:rPr>
          <w:rFonts w:ascii="Century Gothic" w:hAnsi="Century Gothic"/>
        </w:rPr>
        <w:t>X</w:t>
      </w:r>
      <w:r>
        <w:rPr>
          <w:rFonts w:ascii="Century Gothic" w:hAnsi="Century Gothic"/>
        </w:rPr>
        <w:t xml:space="preserve"> emissions being produced; and</w:t>
      </w:r>
    </w:p>
    <w:p w14:paraId="1B25CD9E" w14:textId="77777777" w:rsidR="00B718B7" w:rsidRDefault="00B718B7" w:rsidP="003A5C7A">
      <w:pPr>
        <w:pStyle w:val="StyleBodyTextUnivers55Left"/>
        <w:numPr>
          <w:ilvl w:val="0"/>
          <w:numId w:val="4"/>
        </w:numPr>
        <w:spacing w:before="120" w:after="120"/>
        <w:jc w:val="both"/>
        <w:rPr>
          <w:rFonts w:ascii="Century Gothic" w:hAnsi="Century Gothic"/>
        </w:rPr>
      </w:pPr>
      <w:r w:rsidRPr="003A5C7A">
        <w:rPr>
          <w:rFonts w:ascii="Century Gothic" w:hAnsi="Century Gothic"/>
          <w:b/>
        </w:rPr>
        <w:t>Additional equipment upgrades</w:t>
      </w:r>
      <w:r>
        <w:rPr>
          <w:rFonts w:ascii="Century Gothic" w:hAnsi="Century Gothic"/>
        </w:rPr>
        <w:t>: the introduction of upgraded equipment on site will conform to the standards of the latest technology, providing further efficiencies.</w:t>
      </w:r>
    </w:p>
    <w:p w14:paraId="144DF6CD" w14:textId="77777777" w:rsidR="00047E51" w:rsidRDefault="00047E51" w:rsidP="00047E51">
      <w:pPr>
        <w:spacing w:before="120" w:after="120"/>
        <w:rPr>
          <w:rFonts w:ascii="Century Gothic" w:hAnsi="Century Gothic"/>
          <w:sz w:val="20"/>
          <w:szCs w:val="20"/>
        </w:rPr>
      </w:pPr>
      <w:r>
        <w:rPr>
          <w:rFonts w:ascii="Century Gothic" w:hAnsi="Century Gothic"/>
          <w:sz w:val="20"/>
          <w:szCs w:val="20"/>
        </w:rPr>
        <w:t xml:space="preserve">A detailed discussion of the proposed changes, and an assessment of their impact can be found in </w:t>
      </w:r>
      <w:r>
        <w:rPr>
          <w:rFonts w:ascii="Century Gothic" w:hAnsi="Century Gothic"/>
          <w:b/>
          <w:sz w:val="20"/>
          <w:szCs w:val="20"/>
        </w:rPr>
        <w:t xml:space="preserve">Appendix </w:t>
      </w:r>
      <w:r w:rsidR="005257FD">
        <w:rPr>
          <w:rFonts w:ascii="Century Gothic" w:hAnsi="Century Gothic"/>
          <w:b/>
          <w:sz w:val="20"/>
          <w:szCs w:val="20"/>
        </w:rPr>
        <w:t>3</w:t>
      </w:r>
      <w:r>
        <w:rPr>
          <w:rFonts w:ascii="Century Gothic" w:hAnsi="Century Gothic"/>
          <w:b/>
          <w:sz w:val="20"/>
          <w:szCs w:val="20"/>
        </w:rPr>
        <w:t xml:space="preserve"> </w:t>
      </w:r>
      <w:r>
        <w:rPr>
          <w:rFonts w:ascii="Century Gothic" w:hAnsi="Century Gothic"/>
          <w:sz w:val="20"/>
          <w:szCs w:val="20"/>
        </w:rPr>
        <w:t>of this report.</w:t>
      </w:r>
    </w:p>
    <w:p w14:paraId="0E01C621" w14:textId="77777777" w:rsidR="00047E51" w:rsidRDefault="00047E51" w:rsidP="00047E51">
      <w:pPr>
        <w:spacing w:before="120" w:after="120"/>
        <w:rPr>
          <w:rFonts w:ascii="Century Gothic" w:hAnsi="Century Gothic"/>
          <w:sz w:val="20"/>
          <w:szCs w:val="20"/>
        </w:rPr>
      </w:pPr>
    </w:p>
    <w:p w14:paraId="751AA78B" w14:textId="2747509D" w:rsidR="00D217F5" w:rsidRPr="00795D7C" w:rsidRDefault="00D217F5" w:rsidP="00795D7C">
      <w:pPr>
        <w:pStyle w:val="ListParagraph"/>
        <w:numPr>
          <w:ilvl w:val="1"/>
          <w:numId w:val="3"/>
        </w:numPr>
        <w:spacing w:before="120" w:after="120"/>
        <w:ind w:left="709" w:hanging="709"/>
        <w:contextualSpacing w:val="0"/>
        <w:jc w:val="both"/>
        <w:rPr>
          <w:rFonts w:ascii="Century Gothic" w:hAnsi="Century Gothic"/>
          <w:b/>
          <w:szCs w:val="28"/>
        </w:rPr>
      </w:pPr>
      <w:r w:rsidRPr="00795D7C">
        <w:rPr>
          <w:rFonts w:ascii="Century Gothic" w:hAnsi="Century Gothic"/>
          <w:b/>
          <w:szCs w:val="28"/>
        </w:rPr>
        <w:t>Health Risk Assessment</w:t>
      </w:r>
    </w:p>
    <w:p w14:paraId="1A9A6B3F" w14:textId="77FBAF20" w:rsidR="00A94768" w:rsidRDefault="006F13C9" w:rsidP="00A94768">
      <w:pPr>
        <w:spacing w:before="120" w:after="120"/>
        <w:rPr>
          <w:rFonts w:ascii="Century Gothic" w:hAnsi="Century Gothic"/>
          <w:sz w:val="20"/>
          <w:szCs w:val="20"/>
        </w:rPr>
      </w:pPr>
      <w:r>
        <w:rPr>
          <w:rFonts w:ascii="Century Gothic" w:hAnsi="Century Gothic"/>
          <w:sz w:val="20"/>
          <w:szCs w:val="20"/>
        </w:rPr>
        <w:t>Although not required as part of the DGRs, Sell and Parker commissioned ERM to prepare a Health R</w:t>
      </w:r>
      <w:r w:rsidR="00A94768">
        <w:rPr>
          <w:rFonts w:ascii="Century Gothic" w:hAnsi="Century Gothic"/>
          <w:sz w:val="20"/>
          <w:szCs w:val="20"/>
        </w:rPr>
        <w:t xml:space="preserve">isk </w:t>
      </w:r>
      <w:r w:rsidR="007718BF">
        <w:rPr>
          <w:rFonts w:ascii="Century Gothic" w:hAnsi="Century Gothic"/>
          <w:sz w:val="20"/>
          <w:szCs w:val="20"/>
        </w:rPr>
        <w:t>A</w:t>
      </w:r>
      <w:r>
        <w:rPr>
          <w:rFonts w:ascii="Century Gothic" w:hAnsi="Century Gothic"/>
          <w:sz w:val="20"/>
          <w:szCs w:val="20"/>
        </w:rPr>
        <w:t xml:space="preserve">ssessment, </w:t>
      </w:r>
      <w:r w:rsidR="007718BF">
        <w:rPr>
          <w:rFonts w:ascii="Century Gothic" w:hAnsi="Century Gothic"/>
          <w:sz w:val="20"/>
          <w:szCs w:val="20"/>
        </w:rPr>
        <w:t xml:space="preserve">to principally address EPA concerns </w:t>
      </w:r>
      <w:r w:rsidR="00A94768">
        <w:rPr>
          <w:rFonts w:ascii="Century Gothic" w:hAnsi="Century Gothic"/>
          <w:sz w:val="20"/>
          <w:szCs w:val="20"/>
        </w:rPr>
        <w:t xml:space="preserve"> </w:t>
      </w:r>
      <w:r w:rsidR="007718BF">
        <w:rPr>
          <w:rFonts w:ascii="Century Gothic" w:hAnsi="Century Gothic"/>
          <w:sz w:val="20"/>
          <w:szCs w:val="20"/>
        </w:rPr>
        <w:t xml:space="preserve">in respect to potential health impacts from air emissions. </w:t>
      </w:r>
      <w:r w:rsidR="00A94768">
        <w:rPr>
          <w:rFonts w:ascii="Century Gothic" w:hAnsi="Century Gothic"/>
          <w:sz w:val="20"/>
          <w:szCs w:val="20"/>
        </w:rPr>
        <w:t>In summary, the report found</w:t>
      </w:r>
      <w:r w:rsidR="003A5C7A">
        <w:rPr>
          <w:rFonts w:ascii="Century Gothic" w:hAnsi="Century Gothic"/>
          <w:sz w:val="20"/>
          <w:szCs w:val="20"/>
        </w:rPr>
        <w:t xml:space="preserve"> that, against Tier 1 screening criteria</w:t>
      </w:r>
      <w:r w:rsidR="00A94768">
        <w:rPr>
          <w:rFonts w:ascii="Century Gothic" w:hAnsi="Century Gothic"/>
          <w:sz w:val="20"/>
          <w:szCs w:val="20"/>
        </w:rPr>
        <w:t>:</w:t>
      </w:r>
    </w:p>
    <w:p w14:paraId="0BA9DE87" w14:textId="7136002F" w:rsidR="003A5C7A" w:rsidRPr="00C8781C" w:rsidRDefault="00137970" w:rsidP="003A5C7A">
      <w:pPr>
        <w:spacing w:before="120" w:after="120"/>
        <w:rPr>
          <w:rFonts w:ascii="Century Gothic" w:hAnsi="Century Gothic"/>
          <w:sz w:val="20"/>
          <w:szCs w:val="20"/>
        </w:rPr>
      </w:pPr>
      <w:r w:rsidRPr="00137970">
        <w:rPr>
          <w:rFonts w:ascii="Century Gothic" w:hAnsi="Century Gothic"/>
          <w:sz w:val="20"/>
          <w:szCs w:val="20"/>
        </w:rPr>
        <w:t>The maximum average 24 hour PM10 concentration together with the maximum measured background concentration, the Tier 1 assessment, resulted in levels that exceeded the assessment criteria. However, the levels are below the WHO interim 24 hour      health risk based target when the elevated background levels resulting from the exceptional September 2009 dust storm are excluded. Level 2 assessment resulted in no predicted exceedances other than those drive by the 2009 dust storm.</w:t>
      </w:r>
      <w:r>
        <w:rPr>
          <w:rFonts w:ascii="Century Gothic" w:hAnsi="Century Gothic"/>
          <w:sz w:val="20"/>
          <w:szCs w:val="20"/>
        </w:rPr>
        <w:t xml:space="preserve"> </w:t>
      </w:r>
      <w:r w:rsidR="003A5C7A">
        <w:rPr>
          <w:rFonts w:ascii="Century Gothic" w:hAnsi="Century Gothic"/>
          <w:sz w:val="20"/>
          <w:szCs w:val="20"/>
        </w:rPr>
        <w:t xml:space="preserve">A full assessment of Tier 1 and Tier 2 results can be found in Section 4.3 and 4.4 of the Air </w:t>
      </w:r>
      <w:r w:rsidR="003A5C7A" w:rsidRPr="00C8781C">
        <w:rPr>
          <w:rFonts w:ascii="Century Gothic" w:hAnsi="Century Gothic"/>
          <w:sz w:val="20"/>
          <w:szCs w:val="20"/>
        </w:rPr>
        <w:t xml:space="preserve">Quality Health Risk Assessment in </w:t>
      </w:r>
      <w:r w:rsidR="003A5C7A" w:rsidRPr="00C8781C">
        <w:rPr>
          <w:rFonts w:ascii="Century Gothic" w:hAnsi="Century Gothic"/>
          <w:b/>
          <w:sz w:val="20"/>
          <w:szCs w:val="20"/>
        </w:rPr>
        <w:t>Appendix 4</w:t>
      </w:r>
      <w:r w:rsidR="003A5C7A" w:rsidRPr="00C8781C">
        <w:rPr>
          <w:rFonts w:ascii="Century Gothic" w:hAnsi="Century Gothic"/>
          <w:sz w:val="20"/>
          <w:szCs w:val="20"/>
        </w:rPr>
        <w:t>.</w:t>
      </w:r>
    </w:p>
    <w:p w14:paraId="54F2C88B" w14:textId="4B264314" w:rsidR="00581A64" w:rsidRDefault="00581A64" w:rsidP="007718BF">
      <w:pPr>
        <w:spacing w:before="120" w:after="120"/>
        <w:rPr>
          <w:rFonts w:ascii="Century Gothic" w:hAnsi="Century Gothic"/>
          <w:sz w:val="20"/>
          <w:szCs w:val="20"/>
        </w:rPr>
      </w:pPr>
      <w:r w:rsidRPr="00C8781C">
        <w:rPr>
          <w:rFonts w:ascii="Century Gothic" w:hAnsi="Century Gothic"/>
          <w:sz w:val="20"/>
          <w:szCs w:val="20"/>
        </w:rPr>
        <w:t xml:space="preserve">The report concludes that the site related emissions are unlikely to result in potential for unacceptable health risks. </w:t>
      </w:r>
      <w:r w:rsidR="00B908A6" w:rsidRPr="00C8781C">
        <w:rPr>
          <w:rFonts w:ascii="Century Gothic" w:hAnsi="Century Gothic"/>
          <w:sz w:val="20"/>
          <w:szCs w:val="20"/>
        </w:rPr>
        <w:t>Mitigation measures to address Tier 2 potential impacts, as well as the data collected, can be found in Section 4.4 of the Air Quality Health Risk Assessment.</w:t>
      </w:r>
      <w:r w:rsidR="007718BF">
        <w:rPr>
          <w:rFonts w:ascii="Century Gothic" w:hAnsi="Century Gothic"/>
          <w:sz w:val="20"/>
          <w:szCs w:val="20"/>
        </w:rPr>
        <w:t xml:space="preserve"> </w:t>
      </w:r>
    </w:p>
    <w:p w14:paraId="15E84370" w14:textId="77777777" w:rsidR="007718BF" w:rsidRDefault="007718BF" w:rsidP="007718BF">
      <w:pPr>
        <w:spacing w:before="120" w:after="120"/>
        <w:rPr>
          <w:rFonts w:ascii="Century Gothic" w:hAnsi="Century Gothic"/>
          <w:b/>
          <w:szCs w:val="28"/>
        </w:rPr>
      </w:pPr>
    </w:p>
    <w:p w14:paraId="01045597" w14:textId="77777777" w:rsidR="00581A64" w:rsidRDefault="00581A64" w:rsidP="00795D7C">
      <w:pPr>
        <w:pStyle w:val="ListParagraph"/>
        <w:numPr>
          <w:ilvl w:val="1"/>
          <w:numId w:val="3"/>
        </w:numPr>
        <w:spacing w:before="120" w:after="120"/>
        <w:ind w:left="709" w:hanging="709"/>
        <w:contextualSpacing w:val="0"/>
        <w:jc w:val="both"/>
        <w:rPr>
          <w:rFonts w:ascii="Century Gothic" w:hAnsi="Century Gothic"/>
          <w:b/>
          <w:szCs w:val="28"/>
        </w:rPr>
      </w:pPr>
      <w:r>
        <w:rPr>
          <w:rFonts w:ascii="Century Gothic" w:hAnsi="Century Gothic"/>
          <w:b/>
          <w:szCs w:val="28"/>
        </w:rPr>
        <w:t>Noise &amp; Vibration</w:t>
      </w:r>
    </w:p>
    <w:p w14:paraId="2AA5D6D3" w14:textId="7020328F" w:rsidR="00CC6A8A" w:rsidRDefault="002F06C9" w:rsidP="00CC6A8A">
      <w:pPr>
        <w:spacing w:before="120" w:after="120"/>
        <w:jc w:val="both"/>
        <w:rPr>
          <w:rFonts w:ascii="Century Gothic" w:hAnsi="Century Gothic"/>
          <w:sz w:val="20"/>
          <w:szCs w:val="20"/>
        </w:rPr>
      </w:pPr>
      <w:r>
        <w:rPr>
          <w:rFonts w:ascii="Century Gothic" w:hAnsi="Century Gothic"/>
          <w:sz w:val="20"/>
          <w:szCs w:val="20"/>
        </w:rPr>
        <w:t xml:space="preserve">Renzo Tonin &amp; Associates </w:t>
      </w:r>
      <w:r w:rsidR="00CC6A8A">
        <w:rPr>
          <w:rFonts w:ascii="Century Gothic" w:hAnsi="Century Gothic"/>
          <w:sz w:val="20"/>
          <w:szCs w:val="20"/>
        </w:rPr>
        <w:t>have been</w:t>
      </w:r>
      <w:r>
        <w:rPr>
          <w:rFonts w:ascii="Century Gothic" w:hAnsi="Century Gothic"/>
          <w:sz w:val="20"/>
          <w:szCs w:val="20"/>
        </w:rPr>
        <w:t xml:space="preserve"> commissioned by Sell &amp; Parker to provide a supplementary noise and vibration impact assessment based on the proposed changes to the project that are described in this </w:t>
      </w:r>
      <w:r w:rsidR="007718BF">
        <w:rPr>
          <w:rFonts w:ascii="Century Gothic" w:hAnsi="Century Gothic"/>
          <w:sz w:val="20"/>
          <w:szCs w:val="20"/>
        </w:rPr>
        <w:t>letter</w:t>
      </w:r>
      <w:r w:rsidR="00CC6A8A">
        <w:rPr>
          <w:rFonts w:ascii="Century Gothic" w:hAnsi="Century Gothic"/>
          <w:sz w:val="20"/>
          <w:szCs w:val="20"/>
        </w:rPr>
        <w:t>. This report is currently being finalised and will be forwarded to DP&amp;E once additional investigations are completed.</w:t>
      </w:r>
    </w:p>
    <w:p w14:paraId="254E6FB9" w14:textId="21D20C44" w:rsidR="002F06C9" w:rsidRDefault="002F06C9" w:rsidP="002F06C9">
      <w:pPr>
        <w:spacing w:before="120" w:after="120"/>
        <w:jc w:val="both"/>
        <w:rPr>
          <w:rFonts w:ascii="Century Gothic" w:hAnsi="Century Gothic"/>
          <w:sz w:val="20"/>
          <w:szCs w:val="20"/>
        </w:rPr>
      </w:pPr>
    </w:p>
    <w:p w14:paraId="1E407AB5" w14:textId="77777777" w:rsidR="00CC6A8A" w:rsidRDefault="00CC6A8A" w:rsidP="002F06C9">
      <w:pPr>
        <w:spacing w:before="120" w:after="120"/>
        <w:jc w:val="both"/>
        <w:rPr>
          <w:rFonts w:ascii="Century Gothic" w:hAnsi="Century Gothic"/>
          <w:sz w:val="20"/>
          <w:szCs w:val="20"/>
        </w:rPr>
      </w:pPr>
    </w:p>
    <w:p w14:paraId="2AB034D1" w14:textId="77777777" w:rsidR="00CC6A8A" w:rsidRDefault="00CC6A8A" w:rsidP="002F06C9">
      <w:pPr>
        <w:spacing w:before="120" w:after="120"/>
        <w:jc w:val="both"/>
        <w:rPr>
          <w:rFonts w:ascii="Century Gothic" w:hAnsi="Century Gothic"/>
          <w:sz w:val="20"/>
          <w:szCs w:val="20"/>
        </w:rPr>
      </w:pPr>
    </w:p>
    <w:p w14:paraId="4D20C1C8" w14:textId="77777777" w:rsidR="002F06C9" w:rsidRPr="002F06C9" w:rsidRDefault="002F06C9" w:rsidP="002F06C9">
      <w:pPr>
        <w:spacing w:before="120" w:after="120"/>
        <w:jc w:val="both"/>
        <w:rPr>
          <w:rFonts w:ascii="Century Gothic" w:hAnsi="Century Gothic"/>
          <w:b/>
          <w:szCs w:val="28"/>
        </w:rPr>
      </w:pPr>
    </w:p>
    <w:p w14:paraId="7CB6EA9F" w14:textId="77777777" w:rsidR="00047E51" w:rsidRPr="00D217F5" w:rsidRDefault="00047E51" w:rsidP="00D217F5">
      <w:pPr>
        <w:pStyle w:val="ListParagraph"/>
        <w:numPr>
          <w:ilvl w:val="0"/>
          <w:numId w:val="3"/>
        </w:numPr>
        <w:spacing w:before="120" w:after="120"/>
        <w:contextualSpacing w:val="0"/>
        <w:jc w:val="both"/>
        <w:rPr>
          <w:rFonts w:ascii="Century Gothic" w:hAnsi="Century Gothic"/>
          <w:b/>
          <w:sz w:val="28"/>
          <w:szCs w:val="28"/>
        </w:rPr>
      </w:pPr>
      <w:r w:rsidRPr="00D217F5">
        <w:rPr>
          <w:rFonts w:ascii="Century Gothic" w:hAnsi="Century Gothic"/>
          <w:b/>
          <w:sz w:val="28"/>
          <w:szCs w:val="28"/>
        </w:rPr>
        <w:t>Conclusion</w:t>
      </w:r>
    </w:p>
    <w:p w14:paraId="7B2777C4" w14:textId="6C3EE3FB" w:rsidR="00D31444" w:rsidRDefault="00047E51" w:rsidP="00D31444">
      <w:pPr>
        <w:spacing w:before="120" w:after="120"/>
        <w:rPr>
          <w:rFonts w:ascii="Century Gothic" w:hAnsi="Century Gothic"/>
          <w:sz w:val="20"/>
          <w:szCs w:val="20"/>
        </w:rPr>
      </w:pPr>
      <w:r>
        <w:rPr>
          <w:rFonts w:ascii="Century Gothic" w:hAnsi="Century Gothic"/>
          <w:sz w:val="20"/>
          <w:szCs w:val="20"/>
        </w:rPr>
        <w:t xml:space="preserve">It is considered that the </w:t>
      </w:r>
      <w:r w:rsidR="00C8781C">
        <w:rPr>
          <w:rFonts w:ascii="Century Gothic" w:hAnsi="Century Gothic"/>
          <w:sz w:val="20"/>
          <w:szCs w:val="20"/>
        </w:rPr>
        <w:t xml:space="preserve">refinements to the project and additional mitigation measures </w:t>
      </w:r>
      <w:r>
        <w:rPr>
          <w:rFonts w:ascii="Century Gothic" w:hAnsi="Century Gothic"/>
          <w:sz w:val="20"/>
          <w:szCs w:val="20"/>
        </w:rPr>
        <w:t>identified above</w:t>
      </w:r>
      <w:r w:rsidR="00C8781C">
        <w:rPr>
          <w:rFonts w:ascii="Century Gothic" w:hAnsi="Century Gothic"/>
          <w:sz w:val="20"/>
          <w:szCs w:val="20"/>
        </w:rPr>
        <w:t xml:space="preserve"> (and as further detailed in the attached specialist reports) </w:t>
      </w:r>
      <w:r>
        <w:rPr>
          <w:rFonts w:ascii="Century Gothic" w:hAnsi="Century Gothic"/>
          <w:sz w:val="20"/>
          <w:szCs w:val="20"/>
        </w:rPr>
        <w:t>r</w:t>
      </w:r>
      <w:r w:rsidR="00C8781C">
        <w:rPr>
          <w:rFonts w:ascii="Century Gothic" w:hAnsi="Century Gothic"/>
          <w:sz w:val="20"/>
          <w:szCs w:val="20"/>
        </w:rPr>
        <w:t xml:space="preserve">epresent genuine improvements </w:t>
      </w:r>
      <w:r>
        <w:rPr>
          <w:rFonts w:ascii="Century Gothic" w:hAnsi="Century Gothic"/>
          <w:sz w:val="20"/>
          <w:szCs w:val="20"/>
        </w:rPr>
        <w:t xml:space="preserve">to the </w:t>
      </w:r>
      <w:r w:rsidR="00C8781C">
        <w:rPr>
          <w:rFonts w:ascii="Century Gothic" w:hAnsi="Century Gothic"/>
          <w:sz w:val="20"/>
          <w:szCs w:val="20"/>
        </w:rPr>
        <w:t xml:space="preserve">environmental performance of the </w:t>
      </w:r>
      <w:r>
        <w:rPr>
          <w:rFonts w:ascii="Century Gothic" w:hAnsi="Century Gothic"/>
          <w:sz w:val="20"/>
          <w:szCs w:val="20"/>
        </w:rPr>
        <w:t xml:space="preserve">project. </w:t>
      </w:r>
      <w:r w:rsidR="00CC6A8A">
        <w:rPr>
          <w:rFonts w:ascii="Century Gothic" w:hAnsi="Century Gothic"/>
          <w:sz w:val="20"/>
          <w:szCs w:val="20"/>
        </w:rPr>
        <w:t>Noise and vibration measures are currently in the final stages of investigation, and will be forwarded to DP&amp;E as soon as the updated supplementary report of the study has been</w:t>
      </w:r>
      <w:r w:rsidR="00994B9A">
        <w:rPr>
          <w:rFonts w:ascii="Century Gothic" w:hAnsi="Century Gothic"/>
          <w:sz w:val="20"/>
          <w:szCs w:val="20"/>
        </w:rPr>
        <w:t xml:space="preserve"> </w:t>
      </w:r>
      <w:r w:rsidR="00CC6A8A">
        <w:rPr>
          <w:rFonts w:ascii="Century Gothic" w:hAnsi="Century Gothic"/>
          <w:sz w:val="20"/>
          <w:szCs w:val="20"/>
        </w:rPr>
        <w:t xml:space="preserve">completed. </w:t>
      </w:r>
    </w:p>
    <w:p w14:paraId="342AA3C6" w14:textId="57320057" w:rsidR="001C36A6" w:rsidRPr="00C8781C" w:rsidRDefault="00C16BEC" w:rsidP="00F26C5E">
      <w:pPr>
        <w:pStyle w:val="StyleBodyTextUnivers55Left"/>
        <w:spacing w:before="120" w:after="120"/>
        <w:rPr>
          <w:rFonts w:ascii="Century Gothic" w:hAnsi="Century Gothic"/>
        </w:rPr>
      </w:pPr>
      <w:r w:rsidRPr="00C8781C">
        <w:rPr>
          <w:rFonts w:ascii="Century Gothic" w:hAnsi="Century Gothic"/>
        </w:rPr>
        <w:t xml:space="preserve">We trust this submission has sufficiently </w:t>
      </w:r>
      <w:r w:rsidR="00C8781C" w:rsidRPr="00C8781C">
        <w:rPr>
          <w:rFonts w:ascii="Century Gothic" w:hAnsi="Century Gothic"/>
        </w:rPr>
        <w:t xml:space="preserve">addressed the concerns raised by agencies and respectfully request that the assessment of the SSD be finalised at the earliest opportunity. We would also welcome the opportunity to comment on draft conditions of consent. </w:t>
      </w:r>
      <w:r w:rsidRPr="00C8781C">
        <w:rPr>
          <w:rFonts w:ascii="Century Gothic" w:hAnsi="Century Gothic"/>
        </w:rPr>
        <w:t xml:space="preserve"> In the meantime if you have any questions in respect to the above request, please contact me on 8667 8668 or </w:t>
      </w:r>
      <w:hyperlink r:id="rId9" w:history="1">
        <w:r w:rsidRPr="00C8781C">
          <w:rPr>
            <w:rStyle w:val="Hyperlink"/>
            <w:rFonts w:ascii="Century Gothic" w:hAnsi="Century Gothic"/>
          </w:rPr>
          <w:t>acoburn@mecone.com.au</w:t>
        </w:r>
      </w:hyperlink>
      <w:r w:rsidRPr="00C8781C">
        <w:rPr>
          <w:rFonts w:ascii="Century Gothic" w:hAnsi="Century Gothic"/>
        </w:rPr>
        <w:t>.</w:t>
      </w:r>
    </w:p>
    <w:p w14:paraId="62D9A949" w14:textId="77777777" w:rsidR="00A76495" w:rsidRPr="00C8781C" w:rsidRDefault="00A76495" w:rsidP="00F26C5E">
      <w:pPr>
        <w:pStyle w:val="StyleBodyTextUnivers55Left"/>
        <w:spacing w:before="120" w:after="120"/>
        <w:rPr>
          <w:rFonts w:ascii="Century Gothic" w:hAnsi="Century Gothic"/>
        </w:rPr>
      </w:pPr>
    </w:p>
    <w:p w14:paraId="534044DD" w14:textId="77777777" w:rsidR="001C36A6" w:rsidRDefault="001C36A6" w:rsidP="00F26C5E">
      <w:pPr>
        <w:pStyle w:val="StyleBodyTextUnivers55Left"/>
        <w:spacing w:before="120" w:after="120"/>
        <w:rPr>
          <w:rFonts w:ascii="Century Gothic" w:hAnsi="Century Gothic"/>
        </w:rPr>
      </w:pPr>
      <w:r w:rsidRPr="00C8781C">
        <w:rPr>
          <w:rFonts w:ascii="Century Gothic" w:hAnsi="Century Gothic"/>
        </w:rPr>
        <w:t>Yours sincerely,</w:t>
      </w:r>
    </w:p>
    <w:p w14:paraId="639EA8FA" w14:textId="77777777" w:rsidR="000D4A01" w:rsidRPr="00F26C5E" w:rsidRDefault="000D4A01" w:rsidP="00F26C5E">
      <w:pPr>
        <w:pStyle w:val="StyleBodyTextUnivers55Left"/>
        <w:spacing w:before="120" w:after="120"/>
        <w:rPr>
          <w:rFonts w:ascii="Century Gothic" w:hAnsi="Century Gothic"/>
        </w:rPr>
      </w:pPr>
    </w:p>
    <w:p w14:paraId="58C55EBA" w14:textId="77777777" w:rsidR="001C36A6" w:rsidRDefault="000D4A01" w:rsidP="00F26C5E">
      <w:pPr>
        <w:pStyle w:val="StyleBodyTextUnivers55Left"/>
        <w:spacing w:before="120" w:after="120"/>
        <w:rPr>
          <w:rFonts w:ascii="Century Gothic" w:hAnsi="Century Gothic"/>
        </w:rPr>
      </w:pPr>
      <w:r>
        <w:rPr>
          <w:rFonts w:ascii="Century Gothic" w:hAnsi="Century Gothic"/>
          <w:noProof/>
          <w:lang w:eastAsia="en-AU"/>
        </w:rPr>
        <w:drawing>
          <wp:inline distT="0" distB="0" distL="0" distR="0" wp14:anchorId="185FA17C" wp14:editId="27C2D988">
            <wp:extent cx="1449360" cy="72220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13 at 10.52.44 AM.png"/>
                    <pic:cNvPicPr/>
                  </pic:nvPicPr>
                  <pic:blipFill>
                    <a:blip r:embed="rId10">
                      <a:extLst>
                        <a:ext uri="{28A0092B-C50C-407E-A947-70E740481C1C}">
                          <a14:useLocalDpi xmlns:a14="http://schemas.microsoft.com/office/drawing/2010/main" val="0"/>
                        </a:ext>
                      </a:extLst>
                    </a:blip>
                    <a:stretch>
                      <a:fillRect/>
                    </a:stretch>
                  </pic:blipFill>
                  <pic:spPr>
                    <a:xfrm>
                      <a:off x="0" y="0"/>
                      <a:ext cx="1449805" cy="722429"/>
                    </a:xfrm>
                    <a:prstGeom prst="rect">
                      <a:avLst/>
                    </a:prstGeom>
                  </pic:spPr>
                </pic:pic>
              </a:graphicData>
            </a:graphic>
          </wp:inline>
        </w:drawing>
      </w:r>
    </w:p>
    <w:p w14:paraId="26CFF298" w14:textId="77777777" w:rsidR="001C36A6" w:rsidRDefault="00A76495" w:rsidP="00F26C5E">
      <w:pPr>
        <w:pStyle w:val="StyleBodyTextUnivers55Left"/>
        <w:spacing w:before="120" w:after="120"/>
        <w:rPr>
          <w:rFonts w:ascii="Century Gothic" w:hAnsi="Century Gothic"/>
        </w:rPr>
      </w:pPr>
      <w:r>
        <w:rPr>
          <w:rFonts w:ascii="Century Gothic" w:hAnsi="Century Gothic"/>
        </w:rPr>
        <w:t>Adam Coburn</w:t>
      </w:r>
    </w:p>
    <w:p w14:paraId="129A6FB6" w14:textId="77777777" w:rsidR="00C67393" w:rsidRDefault="00C67393" w:rsidP="00F26C5E">
      <w:pPr>
        <w:pStyle w:val="StyleBodyTextUnivers55Left"/>
        <w:spacing w:before="120" w:after="120"/>
        <w:rPr>
          <w:rFonts w:ascii="Century Gothic" w:hAnsi="Century Gothic"/>
        </w:rPr>
      </w:pPr>
    </w:p>
    <w:p w14:paraId="49BC5F53" w14:textId="77777777" w:rsidR="00C67393" w:rsidRPr="00C67393" w:rsidRDefault="00C67393" w:rsidP="00C67393">
      <w:pPr>
        <w:spacing w:before="120" w:after="120"/>
        <w:ind w:left="397"/>
        <w:jc w:val="both"/>
        <w:rPr>
          <w:rFonts w:ascii="Century Gothic" w:eastAsia="MS Mincho" w:hAnsi="Century Gothic" w:cs="Arial"/>
          <w:sz w:val="20"/>
          <w:szCs w:val="20"/>
          <w:lang w:val="en-US" w:eastAsia="en-US"/>
        </w:rPr>
        <w:sectPr w:rsidR="00C67393" w:rsidRPr="00C67393" w:rsidSect="00155357">
          <w:headerReference w:type="default" r:id="rId11"/>
          <w:headerReference w:type="first" r:id="rId12"/>
          <w:pgSz w:w="11900" w:h="16840"/>
          <w:pgMar w:top="1440" w:right="1800" w:bottom="1440" w:left="1800" w:header="708" w:footer="708" w:gutter="0"/>
          <w:cols w:space="708"/>
          <w:docGrid w:linePitch="360"/>
        </w:sectPr>
      </w:pPr>
    </w:p>
    <w:p w14:paraId="5AA1D48F" w14:textId="77777777" w:rsidR="00C67393" w:rsidRPr="00C67393" w:rsidRDefault="00C67393" w:rsidP="00C67393">
      <w:pPr>
        <w:rPr>
          <w:rFonts w:ascii="Cambria" w:eastAsia="MS Mincho" w:hAnsi="Cambria"/>
          <w:lang w:val="en-US" w:eastAsia="en-US"/>
        </w:rPr>
      </w:pPr>
    </w:p>
    <w:p w14:paraId="0D6450E3" w14:textId="77777777" w:rsidR="00C67393" w:rsidRPr="00C67393" w:rsidRDefault="00C67393" w:rsidP="00C67393">
      <w:pPr>
        <w:rPr>
          <w:rFonts w:ascii="Cambria" w:eastAsia="MS Mincho" w:hAnsi="Cambria"/>
          <w:lang w:val="en-US" w:eastAsia="en-US"/>
        </w:rPr>
      </w:pPr>
    </w:p>
    <w:p w14:paraId="5C7FCD42" w14:textId="77777777" w:rsidR="00C67393" w:rsidRPr="00C67393" w:rsidRDefault="00C67393" w:rsidP="00C67393">
      <w:pPr>
        <w:rPr>
          <w:rFonts w:ascii="Cambria" w:eastAsia="MS Mincho" w:hAnsi="Cambria"/>
          <w:lang w:val="en-US" w:eastAsia="en-US"/>
        </w:rPr>
      </w:pPr>
    </w:p>
    <w:p w14:paraId="2DF2510B" w14:textId="77777777" w:rsidR="00C67393" w:rsidRPr="00C67393" w:rsidRDefault="00C67393" w:rsidP="00C67393">
      <w:pPr>
        <w:rPr>
          <w:rFonts w:ascii="Cambria" w:eastAsia="MS Mincho" w:hAnsi="Cambria"/>
          <w:lang w:val="en-US" w:eastAsia="en-US"/>
        </w:rPr>
      </w:pPr>
    </w:p>
    <w:p w14:paraId="441BD455" w14:textId="77777777" w:rsidR="00C67393" w:rsidRPr="00C67393" w:rsidRDefault="00C67393" w:rsidP="00C67393">
      <w:pPr>
        <w:rPr>
          <w:rFonts w:ascii="Cambria" w:eastAsia="MS Mincho" w:hAnsi="Cambria"/>
          <w:lang w:val="en-US" w:eastAsia="en-US"/>
        </w:rPr>
      </w:pPr>
    </w:p>
    <w:p w14:paraId="7AADA9B3" w14:textId="77777777" w:rsidR="00C67393" w:rsidRPr="00C67393" w:rsidRDefault="00C67393" w:rsidP="00C67393">
      <w:pPr>
        <w:rPr>
          <w:rFonts w:ascii="Cambria" w:eastAsia="MS Mincho" w:hAnsi="Cambria"/>
          <w:lang w:val="en-US" w:eastAsia="en-US"/>
        </w:rPr>
      </w:pPr>
    </w:p>
    <w:p w14:paraId="73543CA6" w14:textId="77777777" w:rsidR="00C67393" w:rsidRPr="00C67393" w:rsidRDefault="00C67393" w:rsidP="00C67393">
      <w:pPr>
        <w:rPr>
          <w:rFonts w:ascii="Cambria" w:eastAsia="MS Mincho" w:hAnsi="Cambria"/>
          <w:lang w:val="en-US" w:eastAsia="en-US"/>
        </w:rPr>
      </w:pPr>
    </w:p>
    <w:p w14:paraId="01A799A1" w14:textId="77777777" w:rsidR="00C67393" w:rsidRPr="00C67393" w:rsidRDefault="00C67393" w:rsidP="00C67393">
      <w:pPr>
        <w:rPr>
          <w:rFonts w:ascii="Cambria" w:eastAsia="MS Mincho" w:hAnsi="Cambria"/>
          <w:lang w:val="en-US" w:eastAsia="en-US"/>
        </w:rPr>
      </w:pPr>
    </w:p>
    <w:p w14:paraId="15BD6991" w14:textId="77777777" w:rsidR="00C67393" w:rsidRPr="00C67393" w:rsidRDefault="00C67393" w:rsidP="00C67393">
      <w:pPr>
        <w:rPr>
          <w:rFonts w:ascii="Cambria" w:eastAsia="MS Mincho" w:hAnsi="Cambria"/>
          <w:lang w:val="en-US" w:eastAsia="en-US"/>
        </w:rPr>
      </w:pPr>
    </w:p>
    <w:p w14:paraId="1E879C5F" w14:textId="77777777" w:rsidR="00C67393" w:rsidRPr="00C67393" w:rsidRDefault="00C67393" w:rsidP="00C67393">
      <w:pPr>
        <w:rPr>
          <w:rFonts w:ascii="Cambria" w:eastAsia="MS Mincho" w:hAnsi="Cambria"/>
          <w:lang w:val="en-US" w:eastAsia="en-US"/>
        </w:rPr>
      </w:pPr>
    </w:p>
    <w:p w14:paraId="5386AC6F" w14:textId="77777777" w:rsidR="00C67393" w:rsidRPr="00C67393" w:rsidRDefault="00C67393" w:rsidP="00C67393">
      <w:pPr>
        <w:rPr>
          <w:rFonts w:ascii="Cambria" w:eastAsia="MS Mincho" w:hAnsi="Cambria"/>
          <w:lang w:val="en-US" w:eastAsia="en-US"/>
        </w:rPr>
      </w:pPr>
    </w:p>
    <w:p w14:paraId="7091FE31" w14:textId="77777777" w:rsidR="00C67393" w:rsidRPr="00C67393" w:rsidRDefault="00C67393" w:rsidP="00C67393">
      <w:pPr>
        <w:rPr>
          <w:rFonts w:ascii="Cambria" w:eastAsia="MS Mincho" w:hAnsi="Cambria"/>
          <w:lang w:val="en-US" w:eastAsia="en-US"/>
        </w:rPr>
      </w:pPr>
    </w:p>
    <w:p w14:paraId="2BD19A7C" w14:textId="77777777" w:rsidR="00C67393" w:rsidRPr="00C67393" w:rsidRDefault="00C67393" w:rsidP="00C67393">
      <w:pPr>
        <w:rPr>
          <w:rFonts w:ascii="Cambria" w:eastAsia="MS Mincho" w:hAnsi="Cambria"/>
          <w:lang w:val="en-US" w:eastAsia="en-US"/>
        </w:rPr>
      </w:pPr>
    </w:p>
    <w:p w14:paraId="2320441E" w14:textId="77777777" w:rsidR="00C67393" w:rsidRDefault="00C67393" w:rsidP="00C67393">
      <w:pPr>
        <w:spacing w:before="120" w:after="120"/>
        <w:ind w:left="397"/>
        <w:rPr>
          <w:rFonts w:ascii="Century Gothic" w:eastAsia="MS Mincho" w:hAnsi="Century Gothic" w:cs="Arial"/>
          <w:color w:val="FFFFFF"/>
          <w:sz w:val="32"/>
          <w:szCs w:val="20"/>
          <w:lang w:val="en-US" w:eastAsia="en-US"/>
        </w:rPr>
      </w:pPr>
      <w:bookmarkStart w:id="3" w:name="_Toc276796064"/>
      <w:r w:rsidRPr="00C67393">
        <w:rPr>
          <w:rFonts w:ascii="Century Gothic" w:eastAsia="MS Mincho" w:hAnsi="Century Gothic" w:cs="Arial"/>
          <w:color w:val="FFFFFF"/>
          <w:sz w:val="32"/>
          <w:szCs w:val="20"/>
          <w:lang w:val="en-US" w:eastAsia="en-US"/>
        </w:rPr>
        <w:t xml:space="preserve">Appendix 1 – </w:t>
      </w:r>
      <w:bookmarkEnd w:id="3"/>
      <w:r w:rsidR="005257FD">
        <w:rPr>
          <w:rFonts w:ascii="Century Gothic" w:eastAsia="MS Mincho" w:hAnsi="Century Gothic" w:cs="Arial"/>
          <w:color w:val="FFFFFF"/>
          <w:sz w:val="32"/>
          <w:szCs w:val="20"/>
          <w:lang w:val="en-US" w:eastAsia="en-US"/>
        </w:rPr>
        <w:t>EPA Response to Proponents RTS</w:t>
      </w:r>
    </w:p>
    <w:p w14:paraId="47D8ADB8" w14:textId="77777777" w:rsidR="00CC6A8A" w:rsidRPr="00C67393" w:rsidRDefault="00CC5705" w:rsidP="00CC6A8A">
      <w:pPr>
        <w:rPr>
          <w:rFonts w:ascii="Cambria" w:eastAsia="MS Mincho" w:hAnsi="Cambria"/>
          <w:lang w:val="en-US" w:eastAsia="en-US"/>
        </w:rPr>
      </w:pPr>
      <w:r>
        <w:rPr>
          <w:rFonts w:ascii="Century Gothic" w:eastAsia="MS Mincho" w:hAnsi="Century Gothic" w:cs="Arial"/>
          <w:color w:val="FFFFFF"/>
          <w:sz w:val="32"/>
          <w:szCs w:val="20"/>
          <w:lang w:val="en-US" w:eastAsia="en-US"/>
        </w:rPr>
        <w:br w:type="page"/>
      </w:r>
    </w:p>
    <w:p w14:paraId="5E8D35F2" w14:textId="77777777" w:rsidR="00CC6A8A" w:rsidRPr="00C67393" w:rsidRDefault="00CC6A8A" w:rsidP="00CC6A8A">
      <w:pPr>
        <w:rPr>
          <w:rFonts w:ascii="Cambria" w:eastAsia="MS Mincho" w:hAnsi="Cambria"/>
          <w:lang w:val="en-US" w:eastAsia="en-US"/>
        </w:rPr>
      </w:pPr>
    </w:p>
    <w:p w14:paraId="6A5B7767" w14:textId="77777777" w:rsidR="00CC6A8A" w:rsidRPr="00C67393" w:rsidRDefault="00CC6A8A" w:rsidP="00CC6A8A">
      <w:pPr>
        <w:rPr>
          <w:rFonts w:ascii="Cambria" w:eastAsia="MS Mincho" w:hAnsi="Cambria"/>
          <w:lang w:val="en-US" w:eastAsia="en-US"/>
        </w:rPr>
      </w:pPr>
    </w:p>
    <w:p w14:paraId="5200993C" w14:textId="77777777" w:rsidR="00CC6A8A" w:rsidRPr="00C67393" w:rsidRDefault="00CC6A8A" w:rsidP="00CC6A8A">
      <w:pPr>
        <w:rPr>
          <w:rFonts w:ascii="Cambria" w:eastAsia="MS Mincho" w:hAnsi="Cambria"/>
          <w:lang w:val="en-US" w:eastAsia="en-US"/>
        </w:rPr>
      </w:pPr>
    </w:p>
    <w:p w14:paraId="7C03856F" w14:textId="77777777" w:rsidR="00CC6A8A" w:rsidRPr="00C67393" w:rsidRDefault="00CC6A8A" w:rsidP="00CC6A8A">
      <w:pPr>
        <w:rPr>
          <w:rFonts w:ascii="Cambria" w:eastAsia="MS Mincho" w:hAnsi="Cambria"/>
          <w:lang w:val="en-US" w:eastAsia="en-US"/>
        </w:rPr>
      </w:pPr>
    </w:p>
    <w:p w14:paraId="2E22F015" w14:textId="77777777" w:rsidR="00CC6A8A" w:rsidRPr="00C67393" w:rsidRDefault="00CC6A8A" w:rsidP="00CC6A8A">
      <w:pPr>
        <w:rPr>
          <w:rFonts w:ascii="Cambria" w:eastAsia="MS Mincho" w:hAnsi="Cambria"/>
          <w:lang w:val="en-US" w:eastAsia="en-US"/>
        </w:rPr>
      </w:pPr>
    </w:p>
    <w:p w14:paraId="0D6119BE" w14:textId="77777777" w:rsidR="00CC6A8A" w:rsidRPr="00C67393" w:rsidRDefault="00CC6A8A" w:rsidP="00CC6A8A">
      <w:pPr>
        <w:rPr>
          <w:rFonts w:ascii="Cambria" w:eastAsia="MS Mincho" w:hAnsi="Cambria"/>
          <w:lang w:val="en-US" w:eastAsia="en-US"/>
        </w:rPr>
      </w:pPr>
    </w:p>
    <w:p w14:paraId="612545C5" w14:textId="77777777" w:rsidR="00CC6A8A" w:rsidRPr="00C67393" w:rsidRDefault="00CC6A8A" w:rsidP="00CC6A8A">
      <w:pPr>
        <w:rPr>
          <w:rFonts w:ascii="Cambria" w:eastAsia="MS Mincho" w:hAnsi="Cambria"/>
          <w:lang w:val="en-US" w:eastAsia="en-US"/>
        </w:rPr>
      </w:pPr>
    </w:p>
    <w:p w14:paraId="6DF275CC" w14:textId="77777777" w:rsidR="00CC6A8A" w:rsidRPr="00C67393" w:rsidRDefault="00CC6A8A" w:rsidP="00CC6A8A">
      <w:pPr>
        <w:rPr>
          <w:rFonts w:ascii="Cambria" w:eastAsia="MS Mincho" w:hAnsi="Cambria"/>
          <w:lang w:val="en-US" w:eastAsia="en-US"/>
        </w:rPr>
      </w:pPr>
    </w:p>
    <w:p w14:paraId="099E0E25" w14:textId="77777777" w:rsidR="00CC6A8A" w:rsidRPr="00C67393" w:rsidRDefault="00CC6A8A" w:rsidP="00CC6A8A">
      <w:pPr>
        <w:rPr>
          <w:rFonts w:ascii="Cambria" w:eastAsia="MS Mincho" w:hAnsi="Cambria"/>
          <w:lang w:val="en-US" w:eastAsia="en-US"/>
        </w:rPr>
      </w:pPr>
    </w:p>
    <w:p w14:paraId="0F915ED0" w14:textId="77777777" w:rsidR="00CC6A8A" w:rsidRPr="00C67393" w:rsidRDefault="00CC6A8A" w:rsidP="00CC6A8A">
      <w:pPr>
        <w:rPr>
          <w:rFonts w:ascii="Cambria" w:eastAsia="MS Mincho" w:hAnsi="Cambria"/>
          <w:lang w:val="en-US" w:eastAsia="en-US"/>
        </w:rPr>
      </w:pPr>
    </w:p>
    <w:p w14:paraId="56EEFBF9" w14:textId="77777777" w:rsidR="00CC6A8A" w:rsidRPr="00C67393" w:rsidRDefault="00CC6A8A" w:rsidP="00CC6A8A">
      <w:pPr>
        <w:rPr>
          <w:rFonts w:ascii="Cambria" w:eastAsia="MS Mincho" w:hAnsi="Cambria"/>
          <w:lang w:val="en-US" w:eastAsia="en-US"/>
        </w:rPr>
      </w:pPr>
    </w:p>
    <w:p w14:paraId="294551F4" w14:textId="77777777" w:rsidR="00CC6A8A" w:rsidRPr="00C67393" w:rsidRDefault="00CC6A8A" w:rsidP="00CC6A8A">
      <w:pPr>
        <w:rPr>
          <w:rFonts w:ascii="Cambria" w:eastAsia="MS Mincho" w:hAnsi="Cambria"/>
          <w:lang w:val="en-US" w:eastAsia="en-US"/>
        </w:rPr>
      </w:pPr>
    </w:p>
    <w:p w14:paraId="6365D6F4" w14:textId="34DF22FB" w:rsidR="00CC6A8A" w:rsidRDefault="00CC6A8A" w:rsidP="00CC6A8A">
      <w:pPr>
        <w:spacing w:before="120" w:after="120"/>
        <w:ind w:left="397"/>
        <w:rPr>
          <w:rFonts w:ascii="Century Gothic" w:eastAsia="MS Mincho" w:hAnsi="Century Gothic" w:cs="Arial"/>
          <w:color w:val="FFFFFF"/>
          <w:sz w:val="32"/>
          <w:szCs w:val="20"/>
          <w:lang w:val="en-US" w:eastAsia="en-US"/>
        </w:rPr>
      </w:pPr>
      <w:r w:rsidRPr="00C67393">
        <w:rPr>
          <w:rFonts w:ascii="Century Gothic" w:eastAsia="MS Mincho" w:hAnsi="Century Gothic" w:cs="Arial"/>
          <w:color w:val="FFFFFF"/>
          <w:sz w:val="32"/>
          <w:szCs w:val="20"/>
          <w:lang w:val="en-US" w:eastAsia="en-US"/>
        </w:rPr>
        <w:t xml:space="preserve">Appendix </w:t>
      </w:r>
      <w:r w:rsidR="00A9288F">
        <w:rPr>
          <w:rFonts w:ascii="Century Gothic" w:eastAsia="MS Mincho" w:hAnsi="Century Gothic" w:cs="Arial"/>
          <w:color w:val="FFFFFF"/>
          <w:sz w:val="32"/>
          <w:szCs w:val="20"/>
          <w:lang w:val="en-US" w:eastAsia="en-US"/>
        </w:rPr>
        <w:t>2</w:t>
      </w:r>
      <w:r w:rsidRPr="00C67393">
        <w:rPr>
          <w:rFonts w:ascii="Century Gothic" w:eastAsia="MS Mincho" w:hAnsi="Century Gothic" w:cs="Arial"/>
          <w:color w:val="FFFFFF"/>
          <w:sz w:val="32"/>
          <w:szCs w:val="20"/>
          <w:lang w:val="en-US" w:eastAsia="en-US"/>
        </w:rPr>
        <w:t xml:space="preserve"> – </w:t>
      </w:r>
      <w:r w:rsidR="00A9288F">
        <w:rPr>
          <w:rFonts w:ascii="Century Gothic" w:eastAsia="MS Mincho" w:hAnsi="Century Gothic" w:cs="Arial"/>
          <w:color w:val="FFFFFF"/>
          <w:sz w:val="32"/>
          <w:szCs w:val="20"/>
          <w:lang w:val="en-US" w:eastAsia="en-US"/>
        </w:rPr>
        <w:t>Stormwater Management Plan</w:t>
      </w:r>
    </w:p>
    <w:p w14:paraId="54F43C42" w14:textId="77777777" w:rsidR="00CC6A8A" w:rsidRDefault="00CC6A8A" w:rsidP="00CC6A8A">
      <w:pPr>
        <w:spacing w:before="120" w:after="120"/>
        <w:ind w:left="397"/>
        <w:rPr>
          <w:rFonts w:ascii="Century Gothic" w:eastAsia="MS Mincho" w:hAnsi="Century Gothic" w:cs="Arial"/>
          <w:color w:val="FFFFFF"/>
          <w:sz w:val="32"/>
          <w:szCs w:val="20"/>
          <w:lang w:val="en-US" w:eastAsia="en-US"/>
        </w:rPr>
      </w:pPr>
      <w:r>
        <w:rPr>
          <w:rFonts w:ascii="Century Gothic" w:eastAsia="MS Mincho" w:hAnsi="Century Gothic" w:cs="Arial"/>
          <w:color w:val="FFFFFF"/>
          <w:sz w:val="32"/>
          <w:szCs w:val="20"/>
          <w:lang w:val="en-US" w:eastAsia="en-US"/>
        </w:rPr>
        <w:br w:type="page"/>
      </w:r>
    </w:p>
    <w:p w14:paraId="27E1E7CD" w14:textId="77777777" w:rsidR="00CC5705" w:rsidRPr="00CC6A8A" w:rsidRDefault="00CC5705" w:rsidP="00C67393">
      <w:pPr>
        <w:spacing w:before="120" w:after="120"/>
        <w:ind w:left="397"/>
        <w:rPr>
          <w:rFonts w:ascii="Century Gothic" w:eastAsia="MS Mincho" w:hAnsi="Century Gothic" w:cs="Arial"/>
          <w:color w:val="FFFFFF"/>
          <w:sz w:val="32"/>
          <w:szCs w:val="20"/>
          <w:lang w:val="en-US" w:eastAsia="en-US"/>
        </w:rPr>
      </w:pPr>
    </w:p>
    <w:p w14:paraId="20866018" w14:textId="77777777" w:rsidR="00CC5705" w:rsidRPr="00C67393" w:rsidRDefault="00CC5705" w:rsidP="00CC5705">
      <w:pPr>
        <w:rPr>
          <w:rFonts w:ascii="Cambria" w:eastAsia="MS Mincho" w:hAnsi="Cambria"/>
          <w:lang w:val="en-US" w:eastAsia="en-US"/>
        </w:rPr>
      </w:pPr>
    </w:p>
    <w:p w14:paraId="5E212A2B" w14:textId="1C1A5AA3" w:rsidR="00CC5705" w:rsidRPr="00C67393" w:rsidRDefault="00CC5705" w:rsidP="00A9288F">
      <w:pPr>
        <w:tabs>
          <w:tab w:val="left" w:pos="1440"/>
        </w:tabs>
        <w:rPr>
          <w:rFonts w:ascii="Cambria" w:eastAsia="MS Mincho" w:hAnsi="Cambria"/>
          <w:lang w:val="en-US" w:eastAsia="en-US"/>
        </w:rPr>
      </w:pPr>
    </w:p>
    <w:p w14:paraId="395BAF54" w14:textId="77777777" w:rsidR="00CC5705" w:rsidRPr="00C67393" w:rsidRDefault="00CC5705" w:rsidP="00CC5705">
      <w:pPr>
        <w:rPr>
          <w:rFonts w:ascii="Cambria" w:eastAsia="MS Mincho" w:hAnsi="Cambria"/>
          <w:lang w:val="en-US" w:eastAsia="en-US"/>
        </w:rPr>
      </w:pPr>
    </w:p>
    <w:p w14:paraId="0D61FF16" w14:textId="77777777" w:rsidR="00CC5705" w:rsidRPr="00C67393" w:rsidRDefault="00CC5705" w:rsidP="00CC5705">
      <w:pPr>
        <w:rPr>
          <w:rFonts w:ascii="Cambria" w:eastAsia="MS Mincho" w:hAnsi="Cambria"/>
          <w:lang w:val="en-US" w:eastAsia="en-US"/>
        </w:rPr>
      </w:pPr>
    </w:p>
    <w:p w14:paraId="0383B31B" w14:textId="77777777" w:rsidR="00CC5705" w:rsidRPr="00C67393" w:rsidRDefault="00CC5705" w:rsidP="00CC5705">
      <w:pPr>
        <w:rPr>
          <w:rFonts w:ascii="Cambria" w:eastAsia="MS Mincho" w:hAnsi="Cambria"/>
          <w:lang w:val="en-US" w:eastAsia="en-US"/>
        </w:rPr>
      </w:pPr>
    </w:p>
    <w:p w14:paraId="6E7ACA8E" w14:textId="77777777" w:rsidR="00CC5705" w:rsidRPr="00C67393" w:rsidRDefault="00CC5705" w:rsidP="00CC5705">
      <w:pPr>
        <w:rPr>
          <w:rFonts w:ascii="Cambria" w:eastAsia="MS Mincho" w:hAnsi="Cambria"/>
          <w:lang w:val="en-US" w:eastAsia="en-US"/>
        </w:rPr>
      </w:pPr>
    </w:p>
    <w:p w14:paraId="77B988D1" w14:textId="77777777" w:rsidR="00CC5705" w:rsidRPr="00C67393" w:rsidRDefault="00CC5705" w:rsidP="00CC5705">
      <w:pPr>
        <w:rPr>
          <w:rFonts w:ascii="Cambria" w:eastAsia="MS Mincho" w:hAnsi="Cambria"/>
          <w:lang w:val="en-US" w:eastAsia="en-US"/>
        </w:rPr>
      </w:pPr>
    </w:p>
    <w:p w14:paraId="23C2B509" w14:textId="77777777" w:rsidR="00CC5705" w:rsidRPr="00C67393" w:rsidRDefault="00CC5705" w:rsidP="00CC5705">
      <w:pPr>
        <w:rPr>
          <w:rFonts w:ascii="Cambria" w:eastAsia="MS Mincho" w:hAnsi="Cambria"/>
          <w:lang w:val="en-US" w:eastAsia="en-US"/>
        </w:rPr>
      </w:pPr>
    </w:p>
    <w:p w14:paraId="7FA7DE87" w14:textId="77777777" w:rsidR="00CC5705" w:rsidRPr="00C67393" w:rsidRDefault="00CC5705" w:rsidP="00CC5705">
      <w:pPr>
        <w:rPr>
          <w:rFonts w:ascii="Cambria" w:eastAsia="MS Mincho" w:hAnsi="Cambria"/>
          <w:lang w:val="en-US" w:eastAsia="en-US"/>
        </w:rPr>
      </w:pPr>
    </w:p>
    <w:p w14:paraId="6610CD16" w14:textId="77777777" w:rsidR="00CC5705" w:rsidRPr="00C67393" w:rsidRDefault="00CC5705" w:rsidP="00CC5705">
      <w:pPr>
        <w:rPr>
          <w:rFonts w:ascii="Cambria" w:eastAsia="MS Mincho" w:hAnsi="Cambria"/>
          <w:lang w:val="en-US" w:eastAsia="en-US"/>
        </w:rPr>
      </w:pPr>
    </w:p>
    <w:p w14:paraId="2D98C280" w14:textId="77777777" w:rsidR="00CC5705" w:rsidRPr="00C67393" w:rsidRDefault="00CC5705" w:rsidP="00CC5705">
      <w:pPr>
        <w:rPr>
          <w:rFonts w:ascii="Cambria" w:eastAsia="MS Mincho" w:hAnsi="Cambria"/>
          <w:lang w:val="en-US" w:eastAsia="en-US"/>
        </w:rPr>
      </w:pPr>
    </w:p>
    <w:p w14:paraId="04C46712" w14:textId="77777777" w:rsidR="00CC5705" w:rsidRPr="00C67393" w:rsidRDefault="00CC5705" w:rsidP="00CC5705">
      <w:pPr>
        <w:rPr>
          <w:rFonts w:ascii="Cambria" w:eastAsia="MS Mincho" w:hAnsi="Cambria"/>
          <w:lang w:val="en-US" w:eastAsia="en-US"/>
        </w:rPr>
      </w:pPr>
    </w:p>
    <w:p w14:paraId="7DB2DE46" w14:textId="11A68C8E" w:rsidR="00CC5705" w:rsidRDefault="00CC5705" w:rsidP="00CC5705">
      <w:pPr>
        <w:spacing w:before="120" w:after="120"/>
        <w:ind w:left="397"/>
        <w:rPr>
          <w:rFonts w:ascii="Century Gothic" w:eastAsia="MS Mincho" w:hAnsi="Century Gothic" w:cs="Arial"/>
          <w:color w:val="FFFFFF"/>
          <w:sz w:val="32"/>
          <w:szCs w:val="20"/>
          <w:lang w:val="en-US" w:eastAsia="en-US"/>
        </w:rPr>
      </w:pPr>
      <w:r w:rsidRPr="00C67393">
        <w:rPr>
          <w:rFonts w:ascii="Century Gothic" w:eastAsia="MS Mincho" w:hAnsi="Century Gothic" w:cs="Arial"/>
          <w:color w:val="FFFFFF"/>
          <w:sz w:val="32"/>
          <w:szCs w:val="20"/>
          <w:lang w:val="en-US" w:eastAsia="en-US"/>
        </w:rPr>
        <w:t xml:space="preserve">Appendix </w:t>
      </w:r>
      <w:r w:rsidR="00A9288F">
        <w:rPr>
          <w:rFonts w:ascii="Century Gothic" w:eastAsia="MS Mincho" w:hAnsi="Century Gothic" w:cs="Arial"/>
          <w:color w:val="FFFFFF"/>
          <w:sz w:val="32"/>
          <w:szCs w:val="20"/>
          <w:lang w:val="en-US" w:eastAsia="en-US"/>
        </w:rPr>
        <w:t>3</w:t>
      </w:r>
      <w:r w:rsidRPr="00C67393">
        <w:rPr>
          <w:rFonts w:ascii="Century Gothic" w:eastAsia="MS Mincho" w:hAnsi="Century Gothic" w:cs="Arial"/>
          <w:color w:val="FFFFFF"/>
          <w:sz w:val="32"/>
          <w:szCs w:val="20"/>
          <w:lang w:val="en-US" w:eastAsia="en-US"/>
        </w:rPr>
        <w:t xml:space="preserve"> – </w:t>
      </w:r>
      <w:r w:rsidR="00A9288F">
        <w:rPr>
          <w:rFonts w:ascii="Century Gothic" w:eastAsia="MS Mincho" w:hAnsi="Century Gothic" w:cs="Arial"/>
          <w:color w:val="FFFFFF"/>
          <w:sz w:val="32"/>
          <w:szCs w:val="20"/>
          <w:lang w:val="en-US" w:eastAsia="en-US"/>
        </w:rPr>
        <w:t>Air Quality Assessment</w:t>
      </w:r>
    </w:p>
    <w:p w14:paraId="5206213C" w14:textId="77777777" w:rsidR="00CC5705" w:rsidRDefault="00CC5705" w:rsidP="00CC5705">
      <w:pPr>
        <w:spacing w:before="120" w:after="120"/>
        <w:ind w:left="397"/>
        <w:rPr>
          <w:rFonts w:ascii="Century Gothic" w:eastAsia="MS Mincho" w:hAnsi="Century Gothic" w:cs="Arial"/>
          <w:color w:val="FFFFFF"/>
          <w:sz w:val="32"/>
          <w:szCs w:val="20"/>
          <w:lang w:val="en-US" w:eastAsia="en-US"/>
        </w:rPr>
      </w:pPr>
      <w:r>
        <w:rPr>
          <w:rFonts w:ascii="Century Gothic" w:eastAsia="MS Mincho" w:hAnsi="Century Gothic" w:cs="Arial"/>
          <w:color w:val="FFFFFF"/>
          <w:sz w:val="32"/>
          <w:szCs w:val="20"/>
          <w:lang w:val="en-US" w:eastAsia="en-US"/>
        </w:rPr>
        <w:br w:type="page"/>
      </w:r>
    </w:p>
    <w:p w14:paraId="5035D3BC" w14:textId="77777777" w:rsidR="00CC5705" w:rsidRPr="00C67393" w:rsidRDefault="00CC5705" w:rsidP="00CC5705">
      <w:pPr>
        <w:rPr>
          <w:rFonts w:ascii="Cambria" w:eastAsia="MS Mincho" w:hAnsi="Cambria"/>
          <w:lang w:val="en-US" w:eastAsia="en-US"/>
        </w:rPr>
      </w:pPr>
    </w:p>
    <w:p w14:paraId="3C08C470" w14:textId="77777777" w:rsidR="00CC5705" w:rsidRPr="00C67393" w:rsidRDefault="00CC5705" w:rsidP="00CC5705">
      <w:pPr>
        <w:rPr>
          <w:rFonts w:ascii="Cambria" w:eastAsia="MS Mincho" w:hAnsi="Cambria"/>
          <w:lang w:val="en-US" w:eastAsia="en-US"/>
        </w:rPr>
      </w:pPr>
    </w:p>
    <w:p w14:paraId="3764E12B" w14:textId="77777777" w:rsidR="00CC5705" w:rsidRPr="00C67393" w:rsidRDefault="00CC5705" w:rsidP="00CC5705">
      <w:pPr>
        <w:rPr>
          <w:rFonts w:ascii="Cambria" w:eastAsia="MS Mincho" w:hAnsi="Cambria"/>
          <w:lang w:val="en-US" w:eastAsia="en-US"/>
        </w:rPr>
      </w:pPr>
    </w:p>
    <w:p w14:paraId="341EF85A" w14:textId="77777777" w:rsidR="00CC5705" w:rsidRPr="00C67393" w:rsidRDefault="00CC5705" w:rsidP="00CC5705">
      <w:pPr>
        <w:rPr>
          <w:rFonts w:ascii="Cambria" w:eastAsia="MS Mincho" w:hAnsi="Cambria"/>
          <w:lang w:val="en-US" w:eastAsia="en-US"/>
        </w:rPr>
      </w:pPr>
    </w:p>
    <w:p w14:paraId="232A6459" w14:textId="77777777" w:rsidR="00CC5705" w:rsidRPr="00C67393" w:rsidRDefault="00CC5705" w:rsidP="00CC5705">
      <w:pPr>
        <w:rPr>
          <w:rFonts w:ascii="Cambria" w:eastAsia="MS Mincho" w:hAnsi="Cambria"/>
          <w:lang w:val="en-US" w:eastAsia="en-US"/>
        </w:rPr>
      </w:pPr>
    </w:p>
    <w:p w14:paraId="2C586108" w14:textId="77777777" w:rsidR="00CC5705" w:rsidRPr="00C67393" w:rsidRDefault="00CC5705" w:rsidP="00CC5705">
      <w:pPr>
        <w:rPr>
          <w:rFonts w:ascii="Cambria" w:eastAsia="MS Mincho" w:hAnsi="Cambria"/>
          <w:lang w:val="en-US" w:eastAsia="en-US"/>
        </w:rPr>
      </w:pPr>
    </w:p>
    <w:p w14:paraId="558F3A4F" w14:textId="77777777" w:rsidR="00CC5705" w:rsidRPr="00C67393" w:rsidRDefault="00CC5705" w:rsidP="00CC5705">
      <w:pPr>
        <w:rPr>
          <w:rFonts w:ascii="Cambria" w:eastAsia="MS Mincho" w:hAnsi="Cambria"/>
          <w:lang w:val="en-US" w:eastAsia="en-US"/>
        </w:rPr>
      </w:pPr>
    </w:p>
    <w:p w14:paraId="72BCD0B2" w14:textId="77777777" w:rsidR="00CC5705" w:rsidRPr="00C67393" w:rsidRDefault="00CC5705" w:rsidP="00CC5705">
      <w:pPr>
        <w:rPr>
          <w:rFonts w:ascii="Cambria" w:eastAsia="MS Mincho" w:hAnsi="Cambria"/>
          <w:lang w:val="en-US" w:eastAsia="en-US"/>
        </w:rPr>
      </w:pPr>
    </w:p>
    <w:p w14:paraId="509F415D" w14:textId="77777777" w:rsidR="00CC5705" w:rsidRPr="00C67393" w:rsidRDefault="00CC5705" w:rsidP="00CC5705">
      <w:pPr>
        <w:rPr>
          <w:rFonts w:ascii="Cambria" w:eastAsia="MS Mincho" w:hAnsi="Cambria"/>
          <w:lang w:val="en-US" w:eastAsia="en-US"/>
        </w:rPr>
      </w:pPr>
    </w:p>
    <w:p w14:paraId="089B5AA4" w14:textId="77777777" w:rsidR="00CC5705" w:rsidRPr="00C67393" w:rsidRDefault="00CC5705" w:rsidP="00CC5705">
      <w:pPr>
        <w:rPr>
          <w:rFonts w:ascii="Cambria" w:eastAsia="MS Mincho" w:hAnsi="Cambria"/>
          <w:lang w:val="en-US" w:eastAsia="en-US"/>
        </w:rPr>
      </w:pPr>
    </w:p>
    <w:p w14:paraId="4AF0EE7D" w14:textId="77777777" w:rsidR="00CC5705" w:rsidRPr="00C67393" w:rsidRDefault="00CC5705" w:rsidP="00CC5705">
      <w:pPr>
        <w:rPr>
          <w:rFonts w:ascii="Cambria" w:eastAsia="MS Mincho" w:hAnsi="Cambria"/>
          <w:lang w:val="en-US" w:eastAsia="en-US"/>
        </w:rPr>
      </w:pPr>
    </w:p>
    <w:p w14:paraId="17FA11FF" w14:textId="77777777" w:rsidR="00CC5705" w:rsidRPr="00C67393" w:rsidRDefault="00CC5705" w:rsidP="00CC5705">
      <w:pPr>
        <w:rPr>
          <w:rFonts w:ascii="Cambria" w:eastAsia="MS Mincho" w:hAnsi="Cambria"/>
          <w:lang w:val="en-US" w:eastAsia="en-US"/>
        </w:rPr>
      </w:pPr>
    </w:p>
    <w:p w14:paraId="6F911C48" w14:textId="77777777" w:rsidR="00CC5705" w:rsidRPr="00C67393" w:rsidRDefault="00CC5705" w:rsidP="00CC5705">
      <w:pPr>
        <w:rPr>
          <w:rFonts w:ascii="Cambria" w:eastAsia="MS Mincho" w:hAnsi="Cambria"/>
          <w:lang w:val="en-US" w:eastAsia="en-US"/>
        </w:rPr>
      </w:pPr>
    </w:p>
    <w:p w14:paraId="2CF6DC49" w14:textId="7F8B66CC" w:rsidR="00CC5705" w:rsidRDefault="00CC5705" w:rsidP="00CC5705">
      <w:pPr>
        <w:spacing w:before="120" w:after="120"/>
        <w:ind w:left="397"/>
        <w:rPr>
          <w:rFonts w:ascii="Century Gothic" w:eastAsia="MS Mincho" w:hAnsi="Century Gothic" w:cs="Arial"/>
          <w:color w:val="FFFFFF"/>
          <w:sz w:val="32"/>
          <w:szCs w:val="20"/>
          <w:lang w:val="en-US" w:eastAsia="en-US"/>
        </w:rPr>
      </w:pPr>
      <w:r w:rsidRPr="00C67393">
        <w:rPr>
          <w:rFonts w:ascii="Century Gothic" w:eastAsia="MS Mincho" w:hAnsi="Century Gothic" w:cs="Arial"/>
          <w:color w:val="FFFFFF"/>
          <w:sz w:val="32"/>
          <w:szCs w:val="20"/>
          <w:lang w:val="en-US" w:eastAsia="en-US"/>
        </w:rPr>
        <w:t xml:space="preserve">Appendix </w:t>
      </w:r>
      <w:r w:rsidR="00A9288F">
        <w:rPr>
          <w:rFonts w:ascii="Century Gothic" w:eastAsia="MS Mincho" w:hAnsi="Century Gothic" w:cs="Arial"/>
          <w:color w:val="FFFFFF"/>
          <w:sz w:val="32"/>
          <w:szCs w:val="20"/>
          <w:lang w:val="en-US" w:eastAsia="en-US"/>
        </w:rPr>
        <w:t>4</w:t>
      </w:r>
      <w:r w:rsidRPr="00C67393">
        <w:rPr>
          <w:rFonts w:ascii="Century Gothic" w:eastAsia="MS Mincho" w:hAnsi="Century Gothic" w:cs="Arial"/>
          <w:color w:val="FFFFFF"/>
          <w:sz w:val="32"/>
          <w:szCs w:val="20"/>
          <w:lang w:val="en-US" w:eastAsia="en-US"/>
        </w:rPr>
        <w:t xml:space="preserve"> – </w:t>
      </w:r>
      <w:r w:rsidR="00A9288F">
        <w:rPr>
          <w:rFonts w:ascii="Century Gothic" w:eastAsia="MS Mincho" w:hAnsi="Century Gothic" w:cs="Arial"/>
          <w:color w:val="FFFFFF"/>
          <w:sz w:val="32"/>
          <w:szCs w:val="20"/>
          <w:lang w:val="en-US" w:eastAsia="en-US"/>
        </w:rPr>
        <w:t>Health Risk Assessment</w:t>
      </w:r>
    </w:p>
    <w:p w14:paraId="156DA62D" w14:textId="77777777" w:rsidR="00CC5705" w:rsidRDefault="00CC5705" w:rsidP="00CC5705">
      <w:pPr>
        <w:spacing w:before="120" w:after="120"/>
        <w:ind w:left="397"/>
        <w:rPr>
          <w:rFonts w:ascii="Century Gothic" w:eastAsia="MS Mincho" w:hAnsi="Century Gothic" w:cs="Arial"/>
          <w:color w:val="FFFFFF"/>
          <w:sz w:val="32"/>
          <w:szCs w:val="20"/>
          <w:lang w:val="en-US" w:eastAsia="en-US"/>
        </w:rPr>
      </w:pPr>
      <w:r>
        <w:rPr>
          <w:rFonts w:ascii="Century Gothic" w:eastAsia="MS Mincho" w:hAnsi="Century Gothic" w:cs="Arial"/>
          <w:color w:val="FFFFFF"/>
          <w:sz w:val="32"/>
          <w:szCs w:val="20"/>
          <w:lang w:val="en-US" w:eastAsia="en-US"/>
        </w:rPr>
        <w:br w:type="page"/>
      </w:r>
    </w:p>
    <w:p w14:paraId="364E4409" w14:textId="77777777" w:rsidR="00CC5705" w:rsidRPr="00C67393" w:rsidRDefault="00CC5705" w:rsidP="00C67393">
      <w:pPr>
        <w:spacing w:before="120" w:after="120"/>
        <w:ind w:left="397"/>
        <w:rPr>
          <w:rFonts w:ascii="Century Gothic" w:hAnsi="Century Gothic" w:cs="Swiss 721 BT"/>
          <w:bCs/>
          <w:color w:val="FFFFFF"/>
          <w:sz w:val="28"/>
          <w:szCs w:val="20"/>
          <w:lang w:val="en-US" w:eastAsia="en-US"/>
        </w:rPr>
      </w:pPr>
    </w:p>
    <w:sectPr w:rsidR="00CC5705" w:rsidRPr="00C67393" w:rsidSect="002217B2">
      <w:footerReference w:type="default" r:id="rId13"/>
      <w:headerReference w:type="first" r:id="rId14"/>
      <w:pgSz w:w="11906" w:h="16838" w:code="9"/>
      <w:pgMar w:top="1304" w:right="1247" w:bottom="124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815DE" w14:textId="77777777" w:rsidR="00795D7C" w:rsidRDefault="00795D7C">
      <w:r>
        <w:separator/>
      </w:r>
    </w:p>
  </w:endnote>
  <w:endnote w:type="continuationSeparator" w:id="0">
    <w:p w14:paraId="1B009A0B" w14:textId="77777777" w:rsidR="00795D7C" w:rsidRDefault="0079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Arial"/>
    <w:charset w:val="00"/>
    <w:family w:val="swiss"/>
    <w:pitch w:val="variable"/>
    <w:sig w:usb0="00000003" w:usb1="00000000" w:usb2="00000000" w:usb3="00000000" w:csb0="00000001"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Light">
    <w:altName w:val="Segoe UI Semilight"/>
    <w:charset w:val="00"/>
    <w:family w:val="auto"/>
    <w:pitch w:val="variable"/>
    <w:sig w:usb0="00000000"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Swiss 721 B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755F5" w14:textId="77777777" w:rsidR="00CC6A8A" w:rsidRDefault="00CC6A8A">
    <w:pPr>
      <w:pStyle w:val="Footer"/>
    </w:pPr>
    <w:r>
      <w:rPr>
        <w:noProof/>
      </w:rPr>
      <w:drawing>
        <wp:anchor distT="0" distB="0" distL="114300" distR="114300" simplePos="0" relativeHeight="251668480" behindDoc="0" locked="0" layoutInCell="1" allowOverlap="1" wp14:anchorId="2239749E" wp14:editId="113B985C">
          <wp:simplePos x="0" y="0"/>
          <wp:positionH relativeFrom="page">
            <wp:posOffset>1016635</wp:posOffset>
          </wp:positionH>
          <wp:positionV relativeFrom="page">
            <wp:posOffset>3037840</wp:posOffset>
          </wp:positionV>
          <wp:extent cx="6468110" cy="6731000"/>
          <wp:effectExtent l="0" t="0" r="889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6731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56D5B" w14:textId="77777777" w:rsidR="00795D7C" w:rsidRDefault="00795D7C">
      <w:r>
        <w:rPr>
          <w:noProof/>
        </w:rPr>
        <w:drawing>
          <wp:inline distT="0" distB="0" distL="0" distR="0" wp14:anchorId="6C790CB1" wp14:editId="7AE8CF8B">
            <wp:extent cx="5120640" cy="52730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5273040"/>
                    </a:xfrm>
                    <a:prstGeom prst="rect">
                      <a:avLst/>
                    </a:prstGeom>
                    <a:noFill/>
                    <a:ln>
                      <a:noFill/>
                    </a:ln>
                  </pic:spPr>
                </pic:pic>
              </a:graphicData>
            </a:graphic>
          </wp:inline>
        </w:drawing>
      </w:r>
      <w:r>
        <w:separator/>
      </w:r>
    </w:p>
  </w:footnote>
  <w:footnote w:type="continuationSeparator" w:id="0">
    <w:p w14:paraId="7F770213" w14:textId="77777777" w:rsidR="00795D7C" w:rsidRDefault="0079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4816E" w14:textId="77777777" w:rsidR="00795D7C" w:rsidRDefault="00795D7C">
    <w:pPr>
      <w:pStyle w:val="Header"/>
    </w:pPr>
    <w:r>
      <w:rPr>
        <w:noProof/>
      </w:rPr>
      <mc:AlternateContent>
        <mc:Choice Requires="wps">
          <w:drawing>
            <wp:anchor distT="0" distB="0" distL="114292" distR="114292" simplePos="0" relativeHeight="251659264" behindDoc="0" locked="0" layoutInCell="1" allowOverlap="1" wp14:anchorId="506F0167" wp14:editId="4D95BAA3">
              <wp:simplePos x="0" y="0"/>
              <wp:positionH relativeFrom="column">
                <wp:posOffset>-1153161</wp:posOffset>
              </wp:positionH>
              <wp:positionV relativeFrom="paragraph">
                <wp:posOffset>-446405</wp:posOffset>
              </wp:positionV>
              <wp:extent cx="0" cy="10862310"/>
              <wp:effectExtent l="0" t="0" r="25400" b="34290"/>
              <wp:wrapNone/>
              <wp:docPr id="11"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62310"/>
                      </a:xfrm>
                      <a:prstGeom prst="line">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BD3C5" id="Straight Connector 40" o:spid="_x0000_s1026" style="position:absolute;z-index:251659264;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from="-90.8pt,-35.15pt" to="-90.8pt,8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" strokecolor="gray"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007C3" w14:textId="77777777" w:rsidR="00795D7C" w:rsidRDefault="00795D7C">
    <w:pPr>
      <w:pStyle w:val="Header"/>
    </w:pPr>
    <w:r>
      <w:rPr>
        <w:noProof/>
      </w:rPr>
      <w:drawing>
        <wp:anchor distT="0" distB="0" distL="114300" distR="114300" simplePos="0" relativeHeight="251662336" behindDoc="0" locked="0" layoutInCell="1" allowOverlap="1" wp14:anchorId="0425E07A" wp14:editId="3C2152F4">
          <wp:simplePos x="0" y="0"/>
          <wp:positionH relativeFrom="page">
            <wp:posOffset>864235</wp:posOffset>
          </wp:positionH>
          <wp:positionV relativeFrom="page">
            <wp:posOffset>2885440</wp:posOffset>
          </wp:positionV>
          <wp:extent cx="6468110" cy="6731000"/>
          <wp:effectExtent l="0" t="0" r="8890" b="0"/>
          <wp:wrapNone/>
          <wp:docPr id="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67310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76BC" w14:textId="77777777" w:rsidR="00795D7C" w:rsidRDefault="00795D7C">
    <w:pPr>
      <w:pStyle w:val="Header"/>
    </w:pPr>
    <w:r>
      <w:rPr>
        <w:noProof/>
      </w:rPr>
      <w:drawing>
        <wp:anchor distT="0" distB="0" distL="114300" distR="114300" simplePos="0" relativeHeight="251664384" behindDoc="0" locked="0" layoutInCell="1" allowOverlap="1" wp14:anchorId="6578420A" wp14:editId="518A6CF2">
          <wp:simplePos x="0" y="0"/>
          <wp:positionH relativeFrom="page">
            <wp:posOffset>864235</wp:posOffset>
          </wp:positionH>
          <wp:positionV relativeFrom="page">
            <wp:posOffset>2885440</wp:posOffset>
          </wp:positionV>
          <wp:extent cx="6468110" cy="6731000"/>
          <wp:effectExtent l="0" t="0" r="8890" b="0"/>
          <wp:wrapNone/>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6731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F12BD"/>
    <w:multiLevelType w:val="hybridMultilevel"/>
    <w:tmpl w:val="0BB200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136E5"/>
    <w:multiLevelType w:val="hybridMultilevel"/>
    <w:tmpl w:val="3A9E0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A430B9"/>
    <w:multiLevelType w:val="multilevel"/>
    <w:tmpl w:val="91FAAFEC"/>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0755071A"/>
    <w:multiLevelType w:val="hybridMultilevel"/>
    <w:tmpl w:val="3698C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86822F1"/>
    <w:multiLevelType w:val="hybridMultilevel"/>
    <w:tmpl w:val="584E3B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B7B97"/>
    <w:multiLevelType w:val="hybridMultilevel"/>
    <w:tmpl w:val="2AA43F4E"/>
    <w:lvl w:ilvl="0" w:tplc="362A34C8">
      <w:start w:val="1"/>
      <w:numFmt w:val="bullet"/>
      <w:pStyle w:val="ListBullet2"/>
      <w:lvlText w:val=""/>
      <w:lvlJc w:val="left"/>
      <w:pPr>
        <w:tabs>
          <w:tab w:val="num" w:pos="643"/>
        </w:tabs>
        <w:ind w:left="64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303060C"/>
    <w:multiLevelType w:val="hybridMultilevel"/>
    <w:tmpl w:val="ACD047AE"/>
    <w:lvl w:ilvl="0" w:tplc="04090005">
      <w:start w:val="1"/>
      <w:numFmt w:val="bullet"/>
      <w:lvlText w:val=""/>
      <w:lvlJc w:val="left"/>
      <w:pPr>
        <w:ind w:left="768" w:hanging="360"/>
      </w:pPr>
      <w:rPr>
        <w:rFonts w:ascii="Wingdings" w:hAnsi="Wingdings" w:hint="default"/>
      </w:rPr>
    </w:lvl>
    <w:lvl w:ilvl="1" w:tplc="04090005">
      <w:start w:val="1"/>
      <w:numFmt w:val="bullet"/>
      <w:lvlText w:val=""/>
      <w:lvlJc w:val="left"/>
      <w:pPr>
        <w:ind w:left="1488" w:hanging="360"/>
      </w:pPr>
      <w:rPr>
        <w:rFonts w:ascii="Wingdings" w:hAnsi="Wingdings"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1638186D"/>
    <w:multiLevelType w:val="hybridMultilevel"/>
    <w:tmpl w:val="96A4A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EE215E"/>
    <w:multiLevelType w:val="hybridMultilevel"/>
    <w:tmpl w:val="BC34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74730"/>
    <w:multiLevelType w:val="hybridMultilevel"/>
    <w:tmpl w:val="9EFE0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DE5300"/>
    <w:multiLevelType w:val="hybridMultilevel"/>
    <w:tmpl w:val="E9A60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B643AB"/>
    <w:multiLevelType w:val="hybridMultilevel"/>
    <w:tmpl w:val="6C962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5CFD"/>
    <w:multiLevelType w:val="hybridMultilevel"/>
    <w:tmpl w:val="24D0BDB0"/>
    <w:lvl w:ilvl="0" w:tplc="A3BAB7D6">
      <w:start w:val="1"/>
      <w:numFmt w:val="lowerLetter"/>
      <w:pStyle w:val="MeconeBullet"/>
      <w:lvlText w:val="%1)"/>
      <w:lvlJc w:val="left"/>
      <w:pPr>
        <w:ind w:left="1477" w:hanging="360"/>
      </w:p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14">
    <w:nsid w:val="258C2A21"/>
    <w:multiLevelType w:val="hybridMultilevel"/>
    <w:tmpl w:val="E58CC62C"/>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4423278B"/>
    <w:multiLevelType w:val="hybridMultilevel"/>
    <w:tmpl w:val="C06A1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245FA"/>
    <w:multiLevelType w:val="hybridMultilevel"/>
    <w:tmpl w:val="764A9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A72957"/>
    <w:multiLevelType w:val="hybridMultilevel"/>
    <w:tmpl w:val="51440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581173"/>
    <w:multiLevelType w:val="hybridMultilevel"/>
    <w:tmpl w:val="3A94D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6383D"/>
    <w:multiLevelType w:val="multilevel"/>
    <w:tmpl w:val="91FAAFEC"/>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AA96B9B"/>
    <w:multiLevelType w:val="hybridMultilevel"/>
    <w:tmpl w:val="BC64F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D0D02"/>
    <w:multiLevelType w:val="hybridMultilevel"/>
    <w:tmpl w:val="6BDA0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E3D59"/>
    <w:multiLevelType w:val="hybridMultilevel"/>
    <w:tmpl w:val="640CB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010B6F"/>
    <w:multiLevelType w:val="hybridMultilevel"/>
    <w:tmpl w:val="AE1E2A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20C86"/>
    <w:multiLevelType w:val="hybridMultilevel"/>
    <w:tmpl w:val="24A08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560A5"/>
    <w:multiLevelType w:val="hybridMultilevel"/>
    <w:tmpl w:val="B62E9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36276"/>
    <w:multiLevelType w:val="hybridMultilevel"/>
    <w:tmpl w:val="158AB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8B154A"/>
    <w:multiLevelType w:val="hybridMultilevel"/>
    <w:tmpl w:val="D1625C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866C2"/>
    <w:multiLevelType w:val="multilevel"/>
    <w:tmpl w:val="91FAAFEC"/>
    <w:lvl w:ilvl="0">
      <w:start w:val="1"/>
      <w:numFmt w:val="decimal"/>
      <w:lvlText w:val="%1."/>
      <w:lvlJc w:val="left"/>
      <w:pPr>
        <w:ind w:left="720" w:hanging="720"/>
      </w:pPr>
      <w:rPr>
        <w:rFonts w:hint="default"/>
      </w:rPr>
    </w:lvl>
    <w:lvl w:ilvl="1">
      <w:start w:val="1"/>
      <w:numFmt w:val="decimal"/>
      <w:isLgl/>
      <w:lvlText w:val="%1.%2"/>
      <w:lvlJc w:val="left"/>
      <w:pPr>
        <w:ind w:left="502" w:hanging="360"/>
      </w:pPr>
      <w:rPr>
        <w:rFonts w:hint="default"/>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47102A3"/>
    <w:multiLevelType w:val="hybridMultilevel"/>
    <w:tmpl w:val="9B325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53A6B"/>
    <w:multiLevelType w:val="hybridMultilevel"/>
    <w:tmpl w:val="CAC8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F274A4"/>
    <w:multiLevelType w:val="hybridMultilevel"/>
    <w:tmpl w:val="2C42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704424"/>
    <w:multiLevelType w:val="hybridMultilevel"/>
    <w:tmpl w:val="AE8E2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8"/>
  </w:num>
  <w:num w:numId="4">
    <w:abstractNumId w:val="32"/>
  </w:num>
  <w:num w:numId="5">
    <w:abstractNumId w:val="10"/>
  </w:num>
  <w:num w:numId="6">
    <w:abstractNumId w:val="16"/>
  </w:num>
  <w:num w:numId="7">
    <w:abstractNumId w:val="15"/>
  </w:num>
  <w:num w:numId="8">
    <w:abstractNumId w:val="0"/>
  </w:num>
  <w:num w:numId="9">
    <w:abstractNumId w:val="13"/>
  </w:num>
  <w:num w:numId="10">
    <w:abstractNumId w:val="18"/>
  </w:num>
  <w:num w:numId="11">
    <w:abstractNumId w:val="12"/>
  </w:num>
  <w:num w:numId="12">
    <w:abstractNumId w:val="7"/>
  </w:num>
  <w:num w:numId="13">
    <w:abstractNumId w:val="20"/>
  </w:num>
  <w:num w:numId="14">
    <w:abstractNumId w:val="1"/>
  </w:num>
  <w:num w:numId="15">
    <w:abstractNumId w:val="29"/>
  </w:num>
  <w:num w:numId="16">
    <w:abstractNumId w:val="23"/>
  </w:num>
  <w:num w:numId="17">
    <w:abstractNumId w:val="22"/>
  </w:num>
  <w:num w:numId="18">
    <w:abstractNumId w:val="19"/>
  </w:num>
  <w:num w:numId="19">
    <w:abstractNumId w:val="24"/>
  </w:num>
  <w:num w:numId="20">
    <w:abstractNumId w:val="5"/>
  </w:num>
  <w:num w:numId="21">
    <w:abstractNumId w:val="25"/>
  </w:num>
  <w:num w:numId="22">
    <w:abstractNumId w:val="17"/>
  </w:num>
  <w:num w:numId="23">
    <w:abstractNumId w:val="2"/>
  </w:num>
  <w:num w:numId="24">
    <w:abstractNumId w:val="11"/>
  </w:num>
  <w:num w:numId="25">
    <w:abstractNumId w:val="21"/>
  </w:num>
  <w:num w:numId="26">
    <w:abstractNumId w:val="26"/>
  </w:num>
  <w:num w:numId="27">
    <w:abstractNumId w:val="27"/>
  </w:num>
  <w:num w:numId="28">
    <w:abstractNumId w:val="3"/>
  </w:num>
  <w:num w:numId="29">
    <w:abstractNumId w:val="14"/>
  </w:num>
  <w:num w:numId="30">
    <w:abstractNumId w:val="9"/>
  </w:num>
  <w:num w:numId="31">
    <w:abstractNumId w:val="31"/>
  </w:num>
  <w:num w:numId="32">
    <w:abstractNumId w:val="4"/>
  </w:num>
  <w:num w:numId="33">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B7"/>
    <w:rsid w:val="00025A1C"/>
    <w:rsid w:val="00025DE7"/>
    <w:rsid w:val="000355B5"/>
    <w:rsid w:val="00046320"/>
    <w:rsid w:val="000474E8"/>
    <w:rsid w:val="00047E51"/>
    <w:rsid w:val="00056E45"/>
    <w:rsid w:val="000615A2"/>
    <w:rsid w:val="000B1922"/>
    <w:rsid w:val="000C5E2C"/>
    <w:rsid w:val="000C7E6E"/>
    <w:rsid w:val="000D075F"/>
    <w:rsid w:val="000D4A01"/>
    <w:rsid w:val="000E3FFF"/>
    <w:rsid w:val="000E4B75"/>
    <w:rsid w:val="000E57CB"/>
    <w:rsid w:val="00114E8C"/>
    <w:rsid w:val="0011521D"/>
    <w:rsid w:val="00120BD0"/>
    <w:rsid w:val="001219EA"/>
    <w:rsid w:val="00137970"/>
    <w:rsid w:val="00155357"/>
    <w:rsid w:val="0016123E"/>
    <w:rsid w:val="00184380"/>
    <w:rsid w:val="00187CE8"/>
    <w:rsid w:val="00196764"/>
    <w:rsid w:val="001A194D"/>
    <w:rsid w:val="001B0446"/>
    <w:rsid w:val="001B6BF5"/>
    <w:rsid w:val="001C2D72"/>
    <w:rsid w:val="001C36A6"/>
    <w:rsid w:val="001D3DFF"/>
    <w:rsid w:val="001F3993"/>
    <w:rsid w:val="001F6676"/>
    <w:rsid w:val="002051AE"/>
    <w:rsid w:val="00207791"/>
    <w:rsid w:val="0021278E"/>
    <w:rsid w:val="00213B89"/>
    <w:rsid w:val="002217B2"/>
    <w:rsid w:val="00221F84"/>
    <w:rsid w:val="00224A49"/>
    <w:rsid w:val="00230A19"/>
    <w:rsid w:val="00240540"/>
    <w:rsid w:val="00240FD5"/>
    <w:rsid w:val="0024273A"/>
    <w:rsid w:val="002463A5"/>
    <w:rsid w:val="00250F75"/>
    <w:rsid w:val="0025419D"/>
    <w:rsid w:val="00262BD8"/>
    <w:rsid w:val="00271D66"/>
    <w:rsid w:val="00280C87"/>
    <w:rsid w:val="00297CAB"/>
    <w:rsid w:val="002B20E9"/>
    <w:rsid w:val="002C0B89"/>
    <w:rsid w:val="002C7190"/>
    <w:rsid w:val="002D3E7A"/>
    <w:rsid w:val="002D743B"/>
    <w:rsid w:val="002E79D1"/>
    <w:rsid w:val="002F06C9"/>
    <w:rsid w:val="003011D7"/>
    <w:rsid w:val="00302F3E"/>
    <w:rsid w:val="003032E6"/>
    <w:rsid w:val="00303343"/>
    <w:rsid w:val="00311B2F"/>
    <w:rsid w:val="00316254"/>
    <w:rsid w:val="00322503"/>
    <w:rsid w:val="00325E86"/>
    <w:rsid w:val="003430BA"/>
    <w:rsid w:val="00362612"/>
    <w:rsid w:val="0037135A"/>
    <w:rsid w:val="003A2693"/>
    <w:rsid w:val="003A5C7A"/>
    <w:rsid w:val="003A6F1B"/>
    <w:rsid w:val="003B6012"/>
    <w:rsid w:val="003C07F6"/>
    <w:rsid w:val="003C253B"/>
    <w:rsid w:val="003C2678"/>
    <w:rsid w:val="003D42C0"/>
    <w:rsid w:val="003D7010"/>
    <w:rsid w:val="003D7490"/>
    <w:rsid w:val="003E5221"/>
    <w:rsid w:val="00404331"/>
    <w:rsid w:val="00407755"/>
    <w:rsid w:val="00414E74"/>
    <w:rsid w:val="004229F6"/>
    <w:rsid w:val="00436E18"/>
    <w:rsid w:val="00437B1F"/>
    <w:rsid w:val="00441038"/>
    <w:rsid w:val="00451079"/>
    <w:rsid w:val="00465533"/>
    <w:rsid w:val="00472C64"/>
    <w:rsid w:val="00481CE5"/>
    <w:rsid w:val="004841AE"/>
    <w:rsid w:val="004915D1"/>
    <w:rsid w:val="004961F1"/>
    <w:rsid w:val="004B6FE5"/>
    <w:rsid w:val="004D137A"/>
    <w:rsid w:val="004D1471"/>
    <w:rsid w:val="004D41DE"/>
    <w:rsid w:val="004F268E"/>
    <w:rsid w:val="004F732A"/>
    <w:rsid w:val="00504C85"/>
    <w:rsid w:val="005255CE"/>
    <w:rsid w:val="005257FD"/>
    <w:rsid w:val="00527B7E"/>
    <w:rsid w:val="0054314F"/>
    <w:rsid w:val="00547AF3"/>
    <w:rsid w:val="00572EFC"/>
    <w:rsid w:val="00576969"/>
    <w:rsid w:val="00580CDC"/>
    <w:rsid w:val="00581A64"/>
    <w:rsid w:val="00590161"/>
    <w:rsid w:val="005A17A6"/>
    <w:rsid w:val="005B4E9A"/>
    <w:rsid w:val="005C23B7"/>
    <w:rsid w:val="005E3B97"/>
    <w:rsid w:val="005E7094"/>
    <w:rsid w:val="005F552F"/>
    <w:rsid w:val="00601AC1"/>
    <w:rsid w:val="00603032"/>
    <w:rsid w:val="0062646D"/>
    <w:rsid w:val="006725CA"/>
    <w:rsid w:val="0067679F"/>
    <w:rsid w:val="00683699"/>
    <w:rsid w:val="00683E49"/>
    <w:rsid w:val="00687655"/>
    <w:rsid w:val="0068783A"/>
    <w:rsid w:val="006A29D9"/>
    <w:rsid w:val="006B1024"/>
    <w:rsid w:val="006B2695"/>
    <w:rsid w:val="006C1CBB"/>
    <w:rsid w:val="006D07BE"/>
    <w:rsid w:val="006D0E11"/>
    <w:rsid w:val="006D6DED"/>
    <w:rsid w:val="006F13C9"/>
    <w:rsid w:val="0070367B"/>
    <w:rsid w:val="00715C77"/>
    <w:rsid w:val="00716CEA"/>
    <w:rsid w:val="00720B09"/>
    <w:rsid w:val="007242BA"/>
    <w:rsid w:val="007546C8"/>
    <w:rsid w:val="00754D0C"/>
    <w:rsid w:val="0077100B"/>
    <w:rsid w:val="007718BF"/>
    <w:rsid w:val="00781ADE"/>
    <w:rsid w:val="00782D6E"/>
    <w:rsid w:val="00795D7C"/>
    <w:rsid w:val="007A5EDC"/>
    <w:rsid w:val="007B5CA6"/>
    <w:rsid w:val="007C7264"/>
    <w:rsid w:val="007D2599"/>
    <w:rsid w:val="007E08AB"/>
    <w:rsid w:val="007F6C50"/>
    <w:rsid w:val="00807099"/>
    <w:rsid w:val="00844425"/>
    <w:rsid w:val="0084636E"/>
    <w:rsid w:val="00857809"/>
    <w:rsid w:val="008657B7"/>
    <w:rsid w:val="00875165"/>
    <w:rsid w:val="0087528F"/>
    <w:rsid w:val="00881394"/>
    <w:rsid w:val="008845B1"/>
    <w:rsid w:val="0089011F"/>
    <w:rsid w:val="008966EA"/>
    <w:rsid w:val="008A77B4"/>
    <w:rsid w:val="008A7CC4"/>
    <w:rsid w:val="008B30E5"/>
    <w:rsid w:val="008C52EC"/>
    <w:rsid w:val="008D0B64"/>
    <w:rsid w:val="008D61B2"/>
    <w:rsid w:val="008E5F37"/>
    <w:rsid w:val="008F22B9"/>
    <w:rsid w:val="008F588C"/>
    <w:rsid w:val="00951DBF"/>
    <w:rsid w:val="009523C3"/>
    <w:rsid w:val="009548BE"/>
    <w:rsid w:val="00955B51"/>
    <w:rsid w:val="00960091"/>
    <w:rsid w:val="009616F3"/>
    <w:rsid w:val="00966217"/>
    <w:rsid w:val="0097006E"/>
    <w:rsid w:val="00994B9A"/>
    <w:rsid w:val="00997736"/>
    <w:rsid w:val="009A2AFE"/>
    <w:rsid w:val="009A4FB0"/>
    <w:rsid w:val="009A5128"/>
    <w:rsid w:val="009D761F"/>
    <w:rsid w:val="009E05CE"/>
    <w:rsid w:val="009E4D29"/>
    <w:rsid w:val="009F5250"/>
    <w:rsid w:val="00A020CC"/>
    <w:rsid w:val="00A12016"/>
    <w:rsid w:val="00A22954"/>
    <w:rsid w:val="00A5339B"/>
    <w:rsid w:val="00A5752F"/>
    <w:rsid w:val="00A60AA6"/>
    <w:rsid w:val="00A62660"/>
    <w:rsid w:val="00A64850"/>
    <w:rsid w:val="00A750C8"/>
    <w:rsid w:val="00A76495"/>
    <w:rsid w:val="00A82250"/>
    <w:rsid w:val="00A86F15"/>
    <w:rsid w:val="00A9288F"/>
    <w:rsid w:val="00A94768"/>
    <w:rsid w:val="00A96AFA"/>
    <w:rsid w:val="00AA51D9"/>
    <w:rsid w:val="00AC54BA"/>
    <w:rsid w:val="00AC63FE"/>
    <w:rsid w:val="00AC7FFC"/>
    <w:rsid w:val="00AE0620"/>
    <w:rsid w:val="00AE4F28"/>
    <w:rsid w:val="00AE6EBB"/>
    <w:rsid w:val="00AF6B87"/>
    <w:rsid w:val="00AF6F65"/>
    <w:rsid w:val="00B1335F"/>
    <w:rsid w:val="00B27245"/>
    <w:rsid w:val="00B40771"/>
    <w:rsid w:val="00B418F2"/>
    <w:rsid w:val="00B56E72"/>
    <w:rsid w:val="00B61101"/>
    <w:rsid w:val="00B67F2F"/>
    <w:rsid w:val="00B718B7"/>
    <w:rsid w:val="00B73176"/>
    <w:rsid w:val="00B81C91"/>
    <w:rsid w:val="00B86BCE"/>
    <w:rsid w:val="00B908A6"/>
    <w:rsid w:val="00B92118"/>
    <w:rsid w:val="00B93670"/>
    <w:rsid w:val="00B956F9"/>
    <w:rsid w:val="00BA0084"/>
    <w:rsid w:val="00BA6C36"/>
    <w:rsid w:val="00BD25EE"/>
    <w:rsid w:val="00BD2A49"/>
    <w:rsid w:val="00BF382C"/>
    <w:rsid w:val="00C142F8"/>
    <w:rsid w:val="00C16BEC"/>
    <w:rsid w:val="00C20390"/>
    <w:rsid w:val="00C23897"/>
    <w:rsid w:val="00C238F8"/>
    <w:rsid w:val="00C43239"/>
    <w:rsid w:val="00C4484B"/>
    <w:rsid w:val="00C52EAD"/>
    <w:rsid w:val="00C551B6"/>
    <w:rsid w:val="00C608DA"/>
    <w:rsid w:val="00C61EE8"/>
    <w:rsid w:val="00C64793"/>
    <w:rsid w:val="00C67393"/>
    <w:rsid w:val="00C81FE8"/>
    <w:rsid w:val="00C8781C"/>
    <w:rsid w:val="00C87B70"/>
    <w:rsid w:val="00C92937"/>
    <w:rsid w:val="00CA1E07"/>
    <w:rsid w:val="00CA505B"/>
    <w:rsid w:val="00CB07F8"/>
    <w:rsid w:val="00CB31A6"/>
    <w:rsid w:val="00CC4FFA"/>
    <w:rsid w:val="00CC5350"/>
    <w:rsid w:val="00CC5705"/>
    <w:rsid w:val="00CC6A8A"/>
    <w:rsid w:val="00CD04AE"/>
    <w:rsid w:val="00CD6371"/>
    <w:rsid w:val="00CF32B6"/>
    <w:rsid w:val="00D20560"/>
    <w:rsid w:val="00D217F5"/>
    <w:rsid w:val="00D31444"/>
    <w:rsid w:val="00D528B7"/>
    <w:rsid w:val="00D5742B"/>
    <w:rsid w:val="00D721E2"/>
    <w:rsid w:val="00D92E07"/>
    <w:rsid w:val="00D94106"/>
    <w:rsid w:val="00D94F6D"/>
    <w:rsid w:val="00D96ECA"/>
    <w:rsid w:val="00DA52AC"/>
    <w:rsid w:val="00DA661E"/>
    <w:rsid w:val="00DA7C97"/>
    <w:rsid w:val="00DB062D"/>
    <w:rsid w:val="00DC6EEC"/>
    <w:rsid w:val="00E14037"/>
    <w:rsid w:val="00E16C51"/>
    <w:rsid w:val="00E46085"/>
    <w:rsid w:val="00E5462D"/>
    <w:rsid w:val="00E9006A"/>
    <w:rsid w:val="00EA1524"/>
    <w:rsid w:val="00EA488B"/>
    <w:rsid w:val="00EA6872"/>
    <w:rsid w:val="00EB617E"/>
    <w:rsid w:val="00EC03E5"/>
    <w:rsid w:val="00EC72EC"/>
    <w:rsid w:val="00ED02FF"/>
    <w:rsid w:val="00ED0C19"/>
    <w:rsid w:val="00EE5E78"/>
    <w:rsid w:val="00EF2125"/>
    <w:rsid w:val="00EF7DFC"/>
    <w:rsid w:val="00F125BE"/>
    <w:rsid w:val="00F16F55"/>
    <w:rsid w:val="00F26C5E"/>
    <w:rsid w:val="00F57E76"/>
    <w:rsid w:val="00F85DA8"/>
    <w:rsid w:val="00F96E03"/>
    <w:rsid w:val="00FA486E"/>
    <w:rsid w:val="00FA5C8F"/>
    <w:rsid w:val="00FB31A6"/>
    <w:rsid w:val="00FB4E7D"/>
    <w:rsid w:val="00FC30B1"/>
    <w:rsid w:val="00FC6DB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DC0EB5"/>
  <w14:defaultImageDpi w14:val="300"/>
  <w15:docId w15:val="{8C2F2285-10F7-4B16-8CC4-C61670F6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2AB"/>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rsid w:val="00314A27"/>
    <w:pPr>
      <w:jc w:val="both"/>
    </w:pPr>
    <w:rPr>
      <w:rFonts w:ascii="Univers 45 Light" w:hAnsi="Univers 45 Light"/>
    </w:rPr>
  </w:style>
  <w:style w:type="paragraph" w:customStyle="1" w:styleId="StyleBodyTextUnivers55Left">
    <w:name w:val="Style Body Text + Univers 55 Left"/>
    <w:basedOn w:val="BodyText"/>
    <w:rsid w:val="00314A27"/>
    <w:pPr>
      <w:spacing w:before="180" w:after="60" w:line="230" w:lineRule="atLeast"/>
    </w:pPr>
    <w:rPr>
      <w:rFonts w:ascii="Univers 55" w:hAnsi="Univers 55"/>
      <w:sz w:val="20"/>
      <w:szCs w:val="20"/>
      <w:lang w:eastAsia="en-US"/>
    </w:rPr>
  </w:style>
  <w:style w:type="paragraph" w:customStyle="1" w:styleId="StyleSalutationLeft">
    <w:name w:val="Style Salutation + Left"/>
    <w:basedOn w:val="Salutation"/>
    <w:rsid w:val="00314A27"/>
    <w:pPr>
      <w:spacing w:before="720" w:after="60"/>
    </w:pPr>
    <w:rPr>
      <w:rFonts w:ascii="Univers 45 Light" w:hAnsi="Univers 45 Light"/>
      <w:sz w:val="20"/>
      <w:szCs w:val="20"/>
      <w:lang w:eastAsia="en-US"/>
    </w:rPr>
  </w:style>
  <w:style w:type="paragraph" w:styleId="Date">
    <w:name w:val="Date"/>
    <w:basedOn w:val="Normal"/>
    <w:next w:val="Normal"/>
    <w:rsid w:val="00314A27"/>
    <w:pPr>
      <w:spacing w:after="960"/>
      <w:jc w:val="both"/>
    </w:pPr>
    <w:rPr>
      <w:rFonts w:ascii="Univers 45 Light" w:hAnsi="Univers 45 Light"/>
      <w:sz w:val="20"/>
      <w:szCs w:val="20"/>
      <w:lang w:val="en-US" w:eastAsia="en-US"/>
    </w:rPr>
  </w:style>
  <w:style w:type="paragraph" w:styleId="BodyText">
    <w:name w:val="Body Text"/>
    <w:basedOn w:val="Normal"/>
    <w:rsid w:val="00314A27"/>
    <w:pPr>
      <w:spacing w:after="120"/>
    </w:pPr>
  </w:style>
  <w:style w:type="paragraph" w:styleId="Salutation">
    <w:name w:val="Salutation"/>
    <w:basedOn w:val="Normal"/>
    <w:next w:val="Normal"/>
    <w:rsid w:val="00314A27"/>
  </w:style>
  <w:style w:type="paragraph" w:styleId="Header">
    <w:name w:val="header"/>
    <w:basedOn w:val="Normal"/>
    <w:link w:val="HeaderChar"/>
    <w:uiPriority w:val="99"/>
    <w:rsid w:val="007B7BA5"/>
    <w:pPr>
      <w:tabs>
        <w:tab w:val="center" w:pos="4153"/>
        <w:tab w:val="right" w:pos="8306"/>
      </w:tabs>
    </w:pPr>
  </w:style>
  <w:style w:type="paragraph" w:styleId="Footer">
    <w:name w:val="footer"/>
    <w:basedOn w:val="Normal"/>
    <w:rsid w:val="007B7BA5"/>
    <w:pPr>
      <w:tabs>
        <w:tab w:val="center" w:pos="4153"/>
        <w:tab w:val="right" w:pos="8306"/>
      </w:tabs>
    </w:pPr>
  </w:style>
  <w:style w:type="paragraph" w:styleId="ListBullet2">
    <w:name w:val="List Bullet 2"/>
    <w:basedOn w:val="Normal"/>
    <w:rsid w:val="004A720F"/>
    <w:pPr>
      <w:numPr>
        <w:numId w:val="1"/>
      </w:numPr>
    </w:pPr>
  </w:style>
  <w:style w:type="paragraph" w:styleId="BalloonText">
    <w:name w:val="Balloon Text"/>
    <w:basedOn w:val="Normal"/>
    <w:semiHidden/>
    <w:rsid w:val="003B217D"/>
    <w:rPr>
      <w:rFonts w:ascii="Tahoma" w:hAnsi="Tahoma" w:cs="Tahoma"/>
      <w:sz w:val="16"/>
      <w:szCs w:val="16"/>
    </w:rPr>
  </w:style>
  <w:style w:type="character" w:styleId="Hyperlink">
    <w:name w:val="Hyperlink"/>
    <w:basedOn w:val="DefaultParagraphFont"/>
    <w:rsid w:val="00F87896"/>
    <w:rPr>
      <w:color w:val="0000FF"/>
      <w:u w:val="single"/>
    </w:rPr>
  </w:style>
  <w:style w:type="paragraph" w:styleId="BodyText2">
    <w:name w:val="Body Text 2"/>
    <w:basedOn w:val="Normal"/>
    <w:rsid w:val="00F8348C"/>
    <w:pPr>
      <w:spacing w:after="120" w:line="480" w:lineRule="auto"/>
    </w:pPr>
  </w:style>
  <w:style w:type="paragraph" w:customStyle="1" w:styleId="Paragraph">
    <w:name w:val="Paragraph"/>
    <w:basedOn w:val="Normal"/>
    <w:rsid w:val="00785618"/>
    <w:pPr>
      <w:spacing w:after="200"/>
      <w:ind w:left="340" w:hanging="340"/>
    </w:pPr>
    <w:rPr>
      <w:rFonts w:ascii="Arial" w:hAnsi="Arial" w:cs="Arial"/>
      <w:sz w:val="16"/>
      <w:szCs w:val="16"/>
    </w:rPr>
  </w:style>
  <w:style w:type="paragraph" w:styleId="DocumentMap">
    <w:name w:val="Document Map"/>
    <w:basedOn w:val="Normal"/>
    <w:semiHidden/>
    <w:rsid w:val="00D6640C"/>
    <w:pPr>
      <w:shd w:val="clear" w:color="auto" w:fill="000080"/>
    </w:pPr>
    <w:rPr>
      <w:rFonts w:ascii="Tahoma" w:hAnsi="Tahoma" w:cs="Tahoma"/>
      <w:sz w:val="20"/>
      <w:szCs w:val="20"/>
    </w:rPr>
  </w:style>
  <w:style w:type="character" w:customStyle="1" w:styleId="apple-converted-space">
    <w:name w:val="apple-converted-space"/>
    <w:basedOn w:val="DefaultParagraphFont"/>
    <w:rsid w:val="008D0B64"/>
  </w:style>
  <w:style w:type="character" w:styleId="FollowedHyperlink">
    <w:name w:val="FollowedHyperlink"/>
    <w:basedOn w:val="DefaultParagraphFont"/>
    <w:rsid w:val="009E4D29"/>
    <w:rPr>
      <w:color w:val="800080" w:themeColor="followedHyperlink"/>
      <w:u w:val="single"/>
    </w:rPr>
  </w:style>
  <w:style w:type="paragraph" w:customStyle="1" w:styleId="Default">
    <w:name w:val="Default"/>
    <w:rsid w:val="00E16C51"/>
    <w:pPr>
      <w:widowControl w:val="0"/>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uiPriority w:val="99"/>
    <w:unhideWhenUsed/>
    <w:rsid w:val="003A6F1B"/>
    <w:rPr>
      <w:sz w:val="18"/>
      <w:szCs w:val="18"/>
    </w:rPr>
  </w:style>
  <w:style w:type="paragraph" w:styleId="CommentText">
    <w:name w:val="annotation text"/>
    <w:basedOn w:val="Normal"/>
    <w:link w:val="CommentTextChar"/>
    <w:uiPriority w:val="99"/>
    <w:unhideWhenUsed/>
    <w:rsid w:val="003A6F1B"/>
  </w:style>
  <w:style w:type="character" w:customStyle="1" w:styleId="CommentTextChar">
    <w:name w:val="Comment Text Char"/>
    <w:basedOn w:val="DefaultParagraphFont"/>
    <w:link w:val="CommentText"/>
    <w:uiPriority w:val="99"/>
    <w:rsid w:val="003A6F1B"/>
    <w:rPr>
      <w:sz w:val="24"/>
      <w:szCs w:val="24"/>
      <w:lang w:eastAsia="en-AU"/>
    </w:rPr>
  </w:style>
  <w:style w:type="character" w:customStyle="1" w:styleId="HeaderChar">
    <w:name w:val="Header Char"/>
    <w:basedOn w:val="DefaultParagraphFont"/>
    <w:link w:val="Header"/>
    <w:uiPriority w:val="99"/>
    <w:rsid w:val="003A6F1B"/>
    <w:rPr>
      <w:sz w:val="24"/>
      <w:szCs w:val="24"/>
      <w:lang w:eastAsia="en-AU"/>
    </w:rPr>
  </w:style>
  <w:style w:type="paragraph" w:styleId="CommentSubject">
    <w:name w:val="annotation subject"/>
    <w:basedOn w:val="CommentText"/>
    <w:next w:val="CommentText"/>
    <w:link w:val="CommentSubjectChar"/>
    <w:rsid w:val="004F732A"/>
    <w:rPr>
      <w:b/>
      <w:bCs/>
      <w:sz w:val="20"/>
      <w:szCs w:val="20"/>
    </w:rPr>
  </w:style>
  <w:style w:type="character" w:customStyle="1" w:styleId="CommentSubjectChar">
    <w:name w:val="Comment Subject Char"/>
    <w:basedOn w:val="CommentTextChar"/>
    <w:link w:val="CommentSubject"/>
    <w:rsid w:val="004F732A"/>
    <w:rPr>
      <w:b/>
      <w:bCs/>
      <w:sz w:val="24"/>
      <w:szCs w:val="24"/>
      <w:lang w:eastAsia="en-AU"/>
    </w:rPr>
  </w:style>
  <w:style w:type="paragraph" w:styleId="ListParagraph">
    <w:name w:val="List Paragraph"/>
    <w:basedOn w:val="Normal"/>
    <w:uiPriority w:val="34"/>
    <w:qFormat/>
    <w:rsid w:val="00F26C5E"/>
    <w:pPr>
      <w:ind w:left="720"/>
      <w:contextualSpacing/>
    </w:pPr>
  </w:style>
  <w:style w:type="paragraph" w:customStyle="1" w:styleId="Meconetext">
    <w:name w:val="Mecone text"/>
    <w:basedOn w:val="Normal"/>
    <w:uiPriority w:val="99"/>
    <w:qFormat/>
    <w:rsid w:val="005E3B97"/>
    <w:pPr>
      <w:spacing w:before="120" w:after="120"/>
      <w:ind w:left="397"/>
      <w:jc w:val="both"/>
    </w:pPr>
    <w:rPr>
      <w:rFonts w:ascii="Century Gothic" w:eastAsia="MS Mincho" w:hAnsi="Century Gothic" w:cs="Arial"/>
      <w:sz w:val="20"/>
      <w:szCs w:val="20"/>
      <w:lang w:val="en-US" w:eastAsia="en-US"/>
    </w:rPr>
  </w:style>
  <w:style w:type="paragraph" w:customStyle="1" w:styleId="MeconeBullet">
    <w:name w:val="Mecone Bullet"/>
    <w:basedOn w:val="Normal"/>
    <w:uiPriority w:val="99"/>
    <w:rsid w:val="00C67393"/>
    <w:pPr>
      <w:numPr>
        <w:numId w:val="9"/>
      </w:numPr>
      <w:tabs>
        <w:tab w:val="left" w:pos="1276"/>
      </w:tabs>
      <w:spacing w:before="120"/>
    </w:pPr>
    <w:rPr>
      <w:rFonts w:ascii="Century Gothic" w:eastAsia="MS Mincho" w:hAnsi="Century Gothic"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56099">
      <w:bodyDiv w:val="1"/>
      <w:marLeft w:val="0"/>
      <w:marRight w:val="0"/>
      <w:marTop w:val="0"/>
      <w:marBottom w:val="0"/>
      <w:divBdr>
        <w:top w:val="none" w:sz="0" w:space="0" w:color="auto"/>
        <w:left w:val="none" w:sz="0" w:space="0" w:color="auto"/>
        <w:bottom w:val="none" w:sz="0" w:space="0" w:color="auto"/>
        <w:right w:val="none" w:sz="0" w:space="0" w:color="auto"/>
      </w:divBdr>
      <w:divsChild>
        <w:div w:id="1481456529">
          <w:marLeft w:val="562"/>
          <w:marRight w:val="0"/>
          <w:marTop w:val="120"/>
          <w:marBottom w:val="120"/>
          <w:divBdr>
            <w:top w:val="none" w:sz="0" w:space="0" w:color="auto"/>
            <w:left w:val="none" w:sz="0" w:space="0" w:color="auto"/>
            <w:bottom w:val="none" w:sz="0" w:space="0" w:color="auto"/>
            <w:right w:val="none" w:sz="0" w:space="0" w:color="auto"/>
          </w:divBdr>
        </w:div>
      </w:divsChild>
    </w:div>
    <w:div w:id="1713189639">
      <w:bodyDiv w:val="1"/>
      <w:marLeft w:val="0"/>
      <w:marRight w:val="0"/>
      <w:marTop w:val="0"/>
      <w:marBottom w:val="0"/>
      <w:divBdr>
        <w:top w:val="none" w:sz="0" w:space="0" w:color="auto"/>
        <w:left w:val="none" w:sz="0" w:space="0" w:color="auto"/>
        <w:bottom w:val="none" w:sz="0" w:space="0" w:color="auto"/>
        <w:right w:val="none" w:sz="0" w:space="0" w:color="auto"/>
      </w:divBdr>
    </w:div>
    <w:div w:id="1840995678">
      <w:bodyDiv w:val="1"/>
      <w:marLeft w:val="0"/>
      <w:marRight w:val="0"/>
      <w:marTop w:val="0"/>
      <w:marBottom w:val="0"/>
      <w:divBdr>
        <w:top w:val="none" w:sz="0" w:space="0" w:color="auto"/>
        <w:left w:val="none" w:sz="0" w:space="0" w:color="auto"/>
        <w:bottom w:val="none" w:sz="0" w:space="0" w:color="auto"/>
        <w:right w:val="none" w:sz="0" w:space="0" w:color="auto"/>
      </w:divBdr>
    </w:div>
    <w:div w:id="195724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acoburn@mecone.com.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90A02-17FE-4B75-BFD3-7DDF2EF40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3334</Words>
  <Characters>19008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Shell Point Marina Addendum</vt:lpstr>
    </vt:vector>
  </TitlesOfParts>
  <Company>NA</Company>
  <LinksUpToDate>false</LinksUpToDate>
  <CharactersWithSpaces>22298</CharactersWithSpaces>
  <SharedDoc>false</SharedDoc>
  <HLinks>
    <vt:vector size="12" baseType="variant">
      <vt:variant>
        <vt:i4>5308496</vt:i4>
      </vt:variant>
      <vt:variant>
        <vt:i4>6</vt:i4>
      </vt:variant>
      <vt:variant>
        <vt:i4>0</vt:i4>
      </vt:variant>
      <vt:variant>
        <vt:i4>5</vt:i4>
      </vt:variant>
      <vt:variant>
        <vt:lpwstr>http://www.mecone.com.au</vt:lpwstr>
      </vt:variant>
      <vt:variant>
        <vt:lpwstr/>
      </vt:variant>
      <vt:variant>
        <vt:i4>2949169</vt:i4>
      </vt:variant>
      <vt:variant>
        <vt:i4>3</vt:i4>
      </vt:variant>
      <vt:variant>
        <vt:i4>0</vt:i4>
      </vt:variant>
      <vt:variant>
        <vt:i4>5</vt:i4>
      </vt:variant>
      <vt:variant>
        <vt:lpwstr>mailto:info@mecone.com.au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Shell Point Marina Addendum</dc:title>
  <dc:subject/>
  <dc:creator>Catalina Lopera</dc:creator>
  <cp:keywords/>
  <dc:description/>
  <cp:lastModifiedBy>Catherine Maddox</cp:lastModifiedBy>
  <cp:revision>2</cp:revision>
  <cp:lastPrinted>2015-04-13T01:35:00Z</cp:lastPrinted>
  <dcterms:created xsi:type="dcterms:W3CDTF">2015-10-25T21:19:00Z</dcterms:created>
  <dcterms:modified xsi:type="dcterms:W3CDTF">2015-10-25T21:19:00Z</dcterms:modified>
</cp:coreProperties>
</file>